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28C6388C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В данном разделе рассматриваются три </w:t>
      </w:r>
      <w:r w:rsidR="002F5584" w:rsidRPr="008F5527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 Additive exPlanations</w:t>
      </w:r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DD107DB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625EE284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="00B538C2"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метод не учитывает корреляцию между признаками и принимает их за 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заключается в рационализации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9BB757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[3]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3983FF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7D7FD4FF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4E06CD08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[6]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6E4DE11C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[6]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B79C467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</w:t>
      </w:r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>вклад 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501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формулы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2F4EEF8F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интерпретации результатов классификации сигналов ЭКГ при помощи свёрточных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2C1F1D1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46E4A" w14:textId="77777777" w:rsidR="00F552D8" w:rsidRDefault="00F552D8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D8C9E1" w14:textId="684F7E62" w:rsidR="00A1270F" w:rsidRPr="00F552D8" w:rsidRDefault="00A1270F" w:rsidP="00F552D8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t>Модели глубинного обучения</w:t>
      </w:r>
    </w:p>
    <w:p w14:paraId="2E7EA95A" w14:textId="4611C2B1" w:rsidR="00A1270F" w:rsidRDefault="00364C46" w:rsidP="006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мы рассмотрим 3 модели глубинного обучения, созданные для решения задач классификации аритмий по ЭКГ. Каждая из </w:t>
      </w:r>
      <w:r>
        <w:rPr>
          <w:rFonts w:ascii="Times New Roman" w:hAnsi="Times New Roman" w:cs="Times New Roman"/>
          <w:sz w:val="28"/>
          <w:szCs w:val="28"/>
        </w:rPr>
        <w:lastRenderedPageBreak/>
        <w:t>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6A641D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137007D5" w14:textId="22DD3332" w:rsidR="00A36F74" w:rsidRDefault="007C0624" w:rsidP="0020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F4C50">
        <w:rPr>
          <w:rFonts w:ascii="Times New Roman" w:hAnsi="Times New Roman" w:cs="Times New Roman"/>
          <w:sz w:val="28"/>
          <w:szCs w:val="28"/>
        </w:rPr>
        <w:t>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r w:rsidR="008C59EB">
        <w:rPr>
          <w:rFonts w:ascii="Times New Roman" w:hAnsi="Times New Roman" w:cs="Times New Roman"/>
          <w:sz w:val="28"/>
          <w:szCs w:val="28"/>
        </w:rPr>
        <w:t>многоклассовой</w:t>
      </w:r>
      <w:r w:rsidR="00DF4C50"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архитектуры </w:t>
      </w:r>
      <w:r w:rsidR="00204314">
        <w:rPr>
          <w:rFonts w:ascii="Times New Roman" w:hAnsi="Times New Roman" w:cs="Times New Roman"/>
          <w:sz w:val="28"/>
          <w:szCs w:val="28"/>
        </w:rPr>
        <w:t>модели продемонстрирована</w:t>
      </w:r>
      <w:r w:rsidR="00342214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2E3764AE" w:rsidR="00342214" w:rsidRPr="00B630B3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1 Архитектура глубокой нейронной сети для диагностики аритмии сердца </w:t>
      </w:r>
      <w:r w:rsidR="000E66CE"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F4C50">
        <w:rPr>
          <w:rFonts w:ascii="Times New Roman" w:hAnsi="Times New Roman" w:cs="Times New Roman"/>
          <w:sz w:val="28"/>
          <w:szCs w:val="28"/>
        </w:rPr>
        <w:t>]</w:t>
      </w:r>
    </w:p>
    <w:p w14:paraId="64A9268E" w14:textId="07457D55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</w:t>
      </w:r>
      <w:r w:rsidRPr="00CA33FB">
        <w:rPr>
          <w:rFonts w:ascii="Times New Roman" w:hAnsi="Times New Roman" w:cs="Times New Roman"/>
          <w:sz w:val="28"/>
          <w:szCs w:val="28"/>
        </w:rPr>
        <w:lastRenderedPageBreak/>
        <w:t>использует одномерные свёрточные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[</w:t>
      </w:r>
      <w:r w:rsidRPr="00683AA9">
        <w:rPr>
          <w:rFonts w:ascii="Times New Roman" w:hAnsi="Times New Roman" w:cs="Times New Roman"/>
          <w:sz w:val="28"/>
          <w:szCs w:val="28"/>
        </w:rPr>
        <w:t>1</w:t>
      </w:r>
      <w:r w:rsidRPr="009669C6">
        <w:rPr>
          <w:rFonts w:ascii="Times New Roman" w:hAnsi="Times New Roman" w:cs="Times New Roman"/>
          <w:sz w:val="28"/>
          <w:szCs w:val="28"/>
        </w:rPr>
        <w:t>]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00E9FD10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 w:rsidR="000E66CE">
        <w:rPr>
          <w:rFonts w:ascii="Times New Roman" w:hAnsi="Times New Roman" w:cs="Times New Roman"/>
          <w:sz w:val="28"/>
          <w:szCs w:val="28"/>
        </w:rPr>
        <w:t xml:space="preserve"> </w:t>
      </w:r>
      <w:r w:rsidR="000E66CE"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F4C50">
        <w:rPr>
          <w:rFonts w:ascii="Times New Roman" w:hAnsi="Times New Roman" w:cs="Times New Roman"/>
          <w:sz w:val="28"/>
          <w:szCs w:val="28"/>
        </w:rPr>
        <w:t>]</w:t>
      </w:r>
    </w:p>
    <w:p w14:paraId="4354EACC" w14:textId="64B1463F" w:rsidR="00BD32E3" w:rsidRDefault="006E2AD5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</w:t>
      </w:r>
      <w:r w:rsidR="00683AA9">
        <w:rPr>
          <w:rFonts w:ascii="Times New Roman" w:hAnsi="Times New Roman" w:cs="Times New Roman"/>
          <w:sz w:val="28"/>
          <w:szCs w:val="28"/>
        </w:rPr>
        <w:t>уровне отдельного пациента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 помощью градиентного объяснителя (</w:t>
      </w:r>
      <w:r w:rsidRPr="006E2AD5">
        <w:rPr>
          <w:rFonts w:ascii="Times New Roman" w:eastAsiaTheme="minorEastAsia" w:hAnsi="Times New Roman" w:cs="Times New Roman"/>
          <w:sz w:val="28"/>
          <w:szCs w:val="28"/>
        </w:rPr>
        <w:t>gradient explainer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="00D81577"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="00D81577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D81577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D81577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D81577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D81577">
        <w:rPr>
          <w:rFonts w:ascii="Times New Roman" w:hAnsi="Times New Roman" w:cs="Times New Roman"/>
          <w:sz w:val="28"/>
          <w:szCs w:val="28"/>
        </w:rPr>
        <w:t>ого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81577">
        <w:rPr>
          <w:rFonts w:ascii="Times New Roman" w:hAnsi="Times New Roman" w:cs="Times New Roman"/>
          <w:sz w:val="28"/>
          <w:szCs w:val="28"/>
        </w:rPr>
        <w:t>а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 w:rsidR="00D815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>, а также показывает вклад признаков</w:t>
      </w:r>
      <w:r w:rsid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5C1"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5B25C1" w:rsidRPr="00D00A99">
        <w:rPr>
          <w:rFonts w:ascii="Times New Roman" w:hAnsi="Times New Roman" w:cs="Times New Roman"/>
          <w:sz w:val="28"/>
          <w:szCs w:val="28"/>
        </w:rPr>
        <w:t>]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7973B75" w14:textId="707DDB44" w:rsidR="005B25C1" w:rsidRPr="005B25C1" w:rsidRDefault="005B25C1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 xml:space="preserve">Если интерпретация на уровне пациента объясняет поведение модели на конкретном сигнале ЭКГ, то интерпретация на уровне популяции </w:t>
      </w:r>
      <w:r w:rsidRPr="005B25C1">
        <w:rPr>
          <w:rFonts w:ascii="Times New Roman" w:hAnsi="Times New Roman" w:cs="Times New Roman"/>
          <w:sz w:val="28"/>
          <w:szCs w:val="28"/>
        </w:rPr>
        <w:lastRenderedPageBreak/>
        <w:t>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191ADE69" w14:textId="222DA53A" w:rsidR="005B25C1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559C893" w14:textId="2DC938FE" w:rsidR="0026205F" w:rsidRPr="005B25C1" w:rsidRDefault="0026205F" w:rsidP="00262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2D3E89E" w14:textId="089692FB" w:rsidR="0026205F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D2FB5F5" w14:textId="047E5214" w:rsidR="0026205F" w:rsidRDefault="0026205F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6918F8F0" w14:textId="33AD1B72" w:rsidR="0026205F" w:rsidRPr="0026205F" w:rsidRDefault="0026205F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33CDB064" w14:textId="03C3957C" w:rsidR="00292674" w:rsidRPr="00050B0D" w:rsidRDefault="0026205F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</w:t>
      </w:r>
      <w:r w:rsidR="000E66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66CE"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00A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C5696A" w14:textId="6A3C4FB7" w:rsidR="00506288" w:rsidRPr="00050B0D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 kNowledge-guided Attention networks</w:t>
      </w:r>
    </w:p>
    <w:p w14:paraId="6D606BB4" w14:textId="3949FA2E" w:rsidR="00C74B1B" w:rsidRDefault="00A27009" w:rsidP="00A27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A27009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r w:rsidRPr="00A27009">
        <w:rPr>
          <w:rFonts w:ascii="Times New Roman" w:hAnsi="Times New Roman" w:cs="Times New Roman"/>
          <w:sz w:val="28"/>
          <w:szCs w:val="28"/>
        </w:rPr>
        <w:t>MultIlevel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 w:rsidR="00C74B1B">
        <w:rPr>
          <w:rFonts w:ascii="Times New Roman" w:hAnsi="Times New Roman" w:cs="Times New Roman"/>
          <w:sz w:val="28"/>
          <w:szCs w:val="28"/>
        </w:rPr>
        <w:t>, разработанная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 w:rsidR="00C74B1B"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="00C74B1B"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="00C74B1B"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: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 </w:t>
      </w:r>
      <w:r w:rsidR="00C74B1B">
        <w:rPr>
          <w:rFonts w:ascii="Times New Roman" w:hAnsi="Times New Roman" w:cs="Times New Roman"/>
          <w:sz w:val="28"/>
          <w:szCs w:val="28"/>
        </w:rPr>
        <w:t xml:space="preserve">и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7A57EEDD" w14:textId="122D057D" w:rsidR="00C74B1B" w:rsidRPr="006E2AD5" w:rsidRDefault="00C74B1B" w:rsidP="00A2700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с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помощью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метода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Finite Impulse Response (FIR)</w:t>
      </w:r>
      <w:r w:rsidR="001F0D8D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EA7FEF">
        <w:rPr>
          <w:rFonts w:ascii="Times New Roman" w:hAnsi="Times New Roman" w:cs="Times New Roman"/>
          <w:sz w:val="28"/>
          <w:szCs w:val="28"/>
        </w:rPr>
        <w:t>преобразует</w:t>
      </w:r>
      <w:r w:rsidR="00EA7FEF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многоканальный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="000F3F02"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по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разным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hAnsi="Times New Roman" w:cs="Times New Roman"/>
          <w:sz w:val="28"/>
          <w:szCs w:val="28"/>
        </w:rPr>
        <w:t>где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="000F3F02"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="00EA7FEF"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[4]</w:t>
      </w:r>
      <w:r w:rsidR="000F3F02"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47DD85" w14:textId="5F69DEC4" w:rsidR="000F3F02" w:rsidRDefault="000F3F02" w:rsidP="002C4F6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73B41623" w14:textId="0EAEF8D3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</w:t>
      </w:r>
      <w:r w:rsidR="00EA7FEF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 xml:space="preserve">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C5B45" w14:textId="56A426A6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CC28A9"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28A9"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[4]:</w:t>
      </w:r>
    </w:p>
    <w:p w14:paraId="25973F7B" w14:textId="54145565" w:rsidR="00CC28A9" w:rsidRPr="00F17912" w:rsidRDefault="00CC28A9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893381" w14:textId="7EE14005" w:rsidR="00F17912" w:rsidRDefault="00F17912" w:rsidP="00F1791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1E42DCD" w14:textId="77777777" w:rsidR="00FC3B6C" w:rsidRPr="006E2AD5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(Bi-LSTM)</w:t>
      </w:r>
      <w:r w:rsidR="00FC3B6C"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029AD489" w14:textId="22340AFE" w:rsidR="00FC3B6C" w:rsidRPr="009E4D94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17439A3D" w14:textId="1780C930" w:rsidR="00FC3B6C" w:rsidRP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27A5B5BF" w14:textId="222241D0" w:rsidR="00F17912" w:rsidRPr="00FC3B6C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4098FBC" w14:textId="5F3F6DD8" w:rsidR="00F17912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7F3891" w14:textId="62595546" w:rsid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118732DC" w14:textId="7CC0A7E0" w:rsidR="00FC3B6C" w:rsidRPr="00BB53EE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18D4F5" w14:textId="04BD3E76" w:rsidR="00BB53EE" w:rsidRDefault="00BB53EE" w:rsidP="00F1791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-го скрытого состояния на уровне ритма</w:t>
      </w:r>
      <w:r w:rsidR="001218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[4]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CA3A936" w14:textId="7D689890" w:rsidR="002C4F62" w:rsidRPr="005333FB" w:rsidRDefault="002C4F62" w:rsidP="005333FB">
      <w:pPr>
        <w:pStyle w:val="a7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DA9E526" w14:textId="3F31FBDE" w:rsidR="009913E1" w:rsidRPr="006E2AD5" w:rsidRDefault="00973E6D" w:rsidP="005333FB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слияние внимания по всем каналам для получения более полного представления сигнала.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 xml:space="preserve">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34F2D"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5F38DDD0" w14:textId="77777777" w:rsidR="002C4F62" w:rsidRDefault="002C4F62" w:rsidP="002C4F62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145DD36C" w14:textId="6FD6F328" w:rsidR="00A34F2D" w:rsidRDefault="00A34F2D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 w:rsidR="002C4F62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  <w:r w:rsidR="005333FB">
        <w:rPr>
          <w:rFonts w:ascii="Times New Roman" w:eastAsiaTheme="minorEastAsia" w:hAnsi="Times New Roman" w:cs="Times New Roman"/>
          <w:sz w:val="28"/>
          <w:szCs w:val="28"/>
        </w:rPr>
        <w:t>значимость каналов может различаться, применяется взвешенное среднее</w:t>
      </w:r>
      <w:r w:rsidR="005333FB"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6FE555" w14:textId="02556C9A" w:rsidR="005333FB" w:rsidRP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7BE0858" w14:textId="5977E638" w:rsid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Power Spectral Density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71AAB"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1AAB" w:rsidRPr="00D3628F">
        <w:rPr>
          <w:rFonts w:ascii="Times New Roman" w:eastAsiaTheme="minorEastAsia" w:hAnsi="Times New Roman" w:cs="Times New Roman"/>
          <w:sz w:val="28"/>
          <w:szCs w:val="28"/>
        </w:rPr>
        <w:t>[4]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4928E9" w14:textId="4C8B108E" w:rsidR="005333FB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124CA4" w14:textId="604497C8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A0F91B4" w14:textId="5CCA6110" w:rsidR="009E4D94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модели осуществляется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помощью взвешенной функции потерь 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19A15F" w14:textId="2B0D731D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3BDE25F5" w14:textId="56B80266" w:rsid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[4]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893F666" w14:textId="0F0B4AAE" w:rsidR="004238A3" w:rsidRPr="004238A3" w:rsidRDefault="00233283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3628F">
        <w:rPr>
          <w:rFonts w:ascii="Times New Roman" w:eastAsiaTheme="minorEastAsia" w:hAnsi="Times New Roman" w:cs="Times New Roman"/>
          <w:sz w:val="28"/>
          <w:szCs w:val="28"/>
        </w:rPr>
        <w:t>[4]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55008D36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 [9]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свёрточной нейронной сети (1DCNN), состоящ</w:t>
      </w:r>
      <w:r w:rsidR="00BD4DF2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D4DF2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>способна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0169822F" w:rsidR="004E03CF" w:rsidRPr="00757DA5" w:rsidRDefault="004E03CF" w:rsidP="00757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[9] </w:t>
      </w:r>
    </w:p>
    <w:p w14:paraId="68013BB4" w14:textId="4E68B1F5" w:rsidR="00292674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="00757DA5" w:rsidRPr="00757DA5">
        <w:rPr>
          <w:rFonts w:ascii="Times New Roman" w:hAnsi="Times New Roman" w:cs="Times New Roman"/>
          <w:sz w:val="28"/>
          <w:szCs w:val="28"/>
        </w:rPr>
        <w:t>[10].</w:t>
      </w:r>
      <w:r w:rsidR="006C09DC"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8FFF3" w14:textId="06B74E62" w:rsidR="00486BE6" w:rsidRDefault="00CB0F40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 идея</w:t>
      </w:r>
      <w:r w:rsid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3A4693" w:rsidRPr="00F930E5">
        <w:rPr>
          <w:rFonts w:ascii="Times New Roman" w:hAnsi="Times New Roman" w:cs="Times New Roman"/>
          <w:sz w:val="28"/>
          <w:szCs w:val="28"/>
        </w:rPr>
        <w:t>-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E543E8">
        <w:rPr>
          <w:rFonts w:ascii="Times New Roman" w:hAnsi="Times New Roman" w:cs="Times New Roman"/>
          <w:sz w:val="28"/>
          <w:szCs w:val="28"/>
        </w:rPr>
        <w:t>связана с использованием</w:t>
      </w:r>
      <w:r w:rsidR="003A4693">
        <w:rPr>
          <w:rFonts w:ascii="Times New Roman" w:hAnsi="Times New Roman" w:cs="Times New Roman"/>
          <w:sz w:val="28"/>
          <w:szCs w:val="28"/>
        </w:rPr>
        <w:t xml:space="preserve"> градиентов, распространяющихся назад от интересующего класса к последнему свёрточному слою нейронной сети. Градиенты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отражают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E543E8">
        <w:rPr>
          <w:rFonts w:ascii="Times New Roman" w:hAnsi="Times New Roman" w:cs="Times New Roman"/>
          <w:sz w:val="28"/>
          <w:szCs w:val="28"/>
        </w:rPr>
        <w:t xml:space="preserve">степень воздействия </w:t>
      </w:r>
      <w:r w:rsidR="003A4693">
        <w:rPr>
          <w:rFonts w:ascii="Times New Roman" w:hAnsi="Times New Roman" w:cs="Times New Roman"/>
          <w:sz w:val="28"/>
          <w:szCs w:val="28"/>
        </w:rPr>
        <w:t>каждого канала карты признаков на итоговое решение. Для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каждого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канала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 w:rsidR="00486B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вычисляется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среднее значения градиентов, которое используется в качестве веса</w:t>
      </w:r>
      <w:r w:rsidR="00486BE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 w:rsidR="003A4693">
        <w:rPr>
          <w:rFonts w:ascii="Times New Roman" w:hAnsi="Times New Roman" w:cs="Times New Roman"/>
          <w:sz w:val="28"/>
          <w:szCs w:val="28"/>
        </w:rPr>
        <w:t xml:space="preserve">. </w:t>
      </w:r>
      <w:r w:rsidR="00486BE6"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22E165F" w14:textId="6275DF30" w:rsidR="00486BE6" w:rsidRPr="00486BE6" w:rsidRDefault="00486BE6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​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4D7BCCAF" w14:textId="77777777" w:rsidR="00D42B14" w:rsidRDefault="00486BE6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 * </m:t>
        </m:r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="00D42B14"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 w:rsidR="00D42B14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3BBC669" w14:textId="77777777" w:rsidR="00D42B14" w:rsidRDefault="003A4693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543E8">
        <w:rPr>
          <w:rFonts w:ascii="Times New Roman" w:hAnsi="Times New Roman" w:cs="Times New Roman"/>
          <w:sz w:val="28"/>
          <w:szCs w:val="28"/>
        </w:rPr>
        <w:t xml:space="preserve">на результат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, чтобы оставить только положительное </w:t>
      </w:r>
      <w:r w:rsidR="00E543E8">
        <w:rPr>
          <w:rFonts w:ascii="Times New Roman" w:hAnsi="Times New Roman" w:cs="Times New Roman"/>
          <w:sz w:val="28"/>
          <w:szCs w:val="28"/>
        </w:rPr>
        <w:t>воздействие</w:t>
      </w:r>
      <w:r w:rsidR="00D42B14"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6D47E7B" w14:textId="7876E119" w:rsidR="00D42B14" w:rsidRPr="00D42B14" w:rsidRDefault="00D42B14" w:rsidP="009D1E6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54FF2848" w14:textId="25B766B0" w:rsidR="003A4693" w:rsidRPr="00D42B14" w:rsidRDefault="00E543E8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A4693">
        <w:rPr>
          <w:rFonts w:ascii="Times New Roman" w:hAnsi="Times New Roman" w:cs="Times New Roman"/>
          <w:sz w:val="28"/>
          <w:szCs w:val="28"/>
        </w:rPr>
        <w:t>исключается области, снижающие уверенность модели в выбранном классе</w:t>
      </w:r>
      <w:r w:rsidR="0019376B">
        <w:rPr>
          <w:rFonts w:ascii="Times New Roman" w:hAnsi="Times New Roman" w:cs="Times New Roman"/>
          <w:sz w:val="28"/>
          <w:szCs w:val="28"/>
        </w:rPr>
        <w:t xml:space="preserve"> </w:t>
      </w:r>
      <w:r w:rsidR="0019376B" w:rsidRPr="00757DA5">
        <w:rPr>
          <w:rFonts w:ascii="Times New Roman" w:hAnsi="Times New Roman" w:cs="Times New Roman"/>
          <w:sz w:val="28"/>
          <w:szCs w:val="28"/>
        </w:rPr>
        <w:t>[10].</w:t>
      </w:r>
    </w:p>
    <w:p w14:paraId="13350099" w14:textId="73E2E9CA" w:rsidR="00C55156" w:rsidRDefault="00571703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 w:rsidR="00F779FC">
        <w:rPr>
          <w:rFonts w:ascii="Times New Roman" w:hAnsi="Times New Roman" w:cs="Times New Roman"/>
          <w:sz w:val="28"/>
          <w:szCs w:val="28"/>
        </w:rPr>
        <w:t>рассматриваемой</w:t>
      </w:r>
      <w:r>
        <w:rPr>
          <w:rFonts w:ascii="Times New Roman" w:hAnsi="Times New Roman" w:cs="Times New Roman"/>
          <w:sz w:val="28"/>
          <w:szCs w:val="28"/>
        </w:rPr>
        <w:t xml:space="preserve">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</w:t>
      </w:r>
      <w:r w:rsidR="00F779FC">
        <w:rPr>
          <w:rFonts w:ascii="Times New Roman" w:hAnsi="Times New Roman" w:cs="Times New Roman"/>
          <w:sz w:val="28"/>
          <w:szCs w:val="28"/>
        </w:rPr>
        <w:t>и, отражающей важность различных признаков ЭКГ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779FC">
        <w:rPr>
          <w:rFonts w:ascii="Times New Roman" w:hAnsi="Times New Roman" w:cs="Times New Roman"/>
          <w:sz w:val="28"/>
          <w:szCs w:val="28"/>
        </w:rPr>
        <w:t xml:space="preserve">При этом особое внимание уделяется градиентам </w:t>
      </w:r>
      <w:r w:rsidR="00F779FC">
        <w:rPr>
          <w:rFonts w:ascii="Times New Roman" w:hAnsi="Times New Roman" w:cs="Times New Roman"/>
          <w:sz w:val="28"/>
          <w:szCs w:val="28"/>
        </w:rPr>
        <w:t xml:space="preserve">по отношению к картам активации из первого свёрточного слоя модели. 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</w:t>
      </w:r>
      <w:r w:rsidR="00F779FC">
        <w:rPr>
          <w:rFonts w:ascii="Times New Roman" w:hAnsi="Times New Roman" w:cs="Times New Roman"/>
          <w:sz w:val="28"/>
          <w:szCs w:val="28"/>
        </w:rPr>
        <w:t xml:space="preserve">фильтров </w:t>
      </w:r>
      <w:r>
        <w:rPr>
          <w:rFonts w:ascii="Times New Roman" w:hAnsi="Times New Roman" w:cs="Times New Roman"/>
          <w:sz w:val="28"/>
          <w:szCs w:val="28"/>
        </w:rPr>
        <w:t xml:space="preserve">на решение. </w:t>
      </w:r>
      <w:r w:rsidR="00C237E8" w:rsidRPr="00C237E8">
        <w:rPr>
          <w:rFonts w:ascii="Times New Roman" w:hAnsi="Times New Roman" w:cs="Times New Roman"/>
          <w:sz w:val="28"/>
          <w:szCs w:val="28"/>
        </w:rPr>
        <w:lastRenderedPageBreak/>
        <w:t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получения итоговой тепловой карты. Полученная карта нормализуется между 0 и 1.</w:t>
      </w:r>
    </w:p>
    <w:p w14:paraId="3F0B1C77" w14:textId="73F97FE5" w:rsidR="00C237E8" w:rsidRPr="00C237E8" w:rsidRDefault="00C237E8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</w:t>
      </w:r>
      <w:r w:rsidRPr="000D46E9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7DFE6" w14:textId="3226C8A7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Lakkaraju, H. Fooling LIME and SHAP. In Proceedings of the AAAI/ACM Conference on AI, Ethics and Society, New York, NY, USA, 7–9 February 2020; pp. 180–186 </w:t>
      </w:r>
      <w:hyperlink r:id="rId10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BiLSTM-Attention Neural Network," in IEEE Access, vol. 7, pp. 109870-109883, 2019. </w:t>
      </w:r>
      <w:hyperlink r:id="rId11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 xml:space="preserve">Hong, S.; Xiao, C.; Ma, T.; Li, H.; Sun, J. MINA: Multilevel Knowledge-Guided Attention for Modeling Electrocardiography Signals. In Proceedings of the Twenty-Eighth International Joint Conference on Artificial Intelligence,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lastRenderedPageBreak/>
        <w:t>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Bahdanau,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2E02EB5C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Lapedriza, A.; Oliva, A.; Torralba, A. Learning Deep Features for Discriminative Localization. In Proceedings of the 2016 IEEE Conference on Computer Vision and Pattern Recognition (CVPR), Las Vegas, NV, USA, 27–30 June 2016. </w:t>
      </w:r>
      <w:hyperlink r:id="rId13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61D7E" w14:textId="49429899" w:rsidR="00E93991" w:rsidRDefault="00E93991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>Ayano, Y.M.; Schwenker, F.; Dufera, B.D.; Debelee,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4" w:history="1">
        <w:r w:rsidR="00DC0B58"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DC0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882AA" w14:textId="1546E6DE" w:rsidR="007C0624" w:rsidRDefault="007C0624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6155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iscience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fulltext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giter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vip</w:t>
        </w:r>
      </w:hyperlink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FC49" w14:textId="3C6C56B2" w:rsidR="004E03CF" w:rsidRPr="00757DA5" w:rsidRDefault="004E03C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7DA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Aufiero, S., Bleijendaal, H., Robyns, T. </w:t>
      </w:r>
      <w:r w:rsidR="009221C5" w:rsidRPr="009221C5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="009221C5" w:rsidRPr="009221C5">
        <w:rPr>
          <w:rFonts w:ascii="Times New Roman" w:hAnsi="Times New Roman" w:cs="Times New Roman"/>
          <w:i/>
          <w:iCs/>
          <w:sz w:val="28"/>
          <w:szCs w:val="28"/>
        </w:rPr>
        <w:t>BMC Med</w:t>
      </w:r>
      <w:r w:rsidR="009221C5" w:rsidRPr="009221C5">
        <w:rPr>
          <w:rFonts w:ascii="Times New Roman" w:hAnsi="Times New Roman" w:cs="Times New Roman"/>
          <w:sz w:val="28"/>
          <w:szCs w:val="28"/>
        </w:rPr>
        <w:t> </w:t>
      </w:r>
      <w:r w:rsidR="009221C5" w:rsidRPr="009221C5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9221C5" w:rsidRPr="009221C5">
        <w:rPr>
          <w:rFonts w:ascii="Times New Roman" w:hAnsi="Times New Roman" w:cs="Times New Roman"/>
          <w:sz w:val="28"/>
          <w:szCs w:val="28"/>
        </w:rPr>
        <w:t>, 162 (2022). </w:t>
      </w:r>
      <w:hyperlink r:id="rId16" w:history="1">
        <w:r w:rsidR="009221C5" w:rsidRPr="00C0176C">
          <w:rPr>
            <w:rStyle w:val="ac"/>
            <w:rFonts w:ascii="Times New Roman" w:hAnsi="Times New Roman" w:cs="Times New Roman"/>
            <w:sz w:val="28"/>
            <w:szCs w:val="28"/>
          </w:rPr>
          <w:t>https://doi.org/10.1186/s12916-022-02350-z</w:t>
        </w:r>
      </w:hyperlink>
      <w:r w:rsidR="00922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2FBF2" w14:textId="363A2E14" w:rsidR="00F930E5" w:rsidRPr="00757DA5" w:rsidRDefault="00F930E5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7DA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] Selvaraju RR, Cogswell M, Das A, Vedantam R, Parikh D, Batra D. Grad-CAM: visual explanations from deep networks via gradient-based localization. Int J Comput Vis. 2020;128:336–59.  </w:t>
      </w:r>
      <w:hyperlink r:id="rId17" w:history="1">
        <w:r w:rsidRPr="00757DA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71929">
    <w:abstractNumId w:val="10"/>
  </w:num>
  <w:num w:numId="2" w16cid:durableId="1723601560">
    <w:abstractNumId w:val="12"/>
  </w:num>
  <w:num w:numId="3" w16cid:durableId="1191382966">
    <w:abstractNumId w:val="2"/>
  </w:num>
  <w:num w:numId="4" w16cid:durableId="2146389765">
    <w:abstractNumId w:val="9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  <w:num w:numId="12" w16cid:durableId="257949963">
    <w:abstractNumId w:val="8"/>
  </w:num>
  <w:num w:numId="13" w16cid:durableId="2779531">
    <w:abstractNumId w:val="11"/>
  </w:num>
  <w:num w:numId="14" w16cid:durableId="78527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10E9B"/>
    <w:rsid w:val="00023F4A"/>
    <w:rsid w:val="00025BC5"/>
    <w:rsid w:val="00025E12"/>
    <w:rsid w:val="00050B0D"/>
    <w:rsid w:val="00052FC6"/>
    <w:rsid w:val="000557AC"/>
    <w:rsid w:val="00086D94"/>
    <w:rsid w:val="000B1565"/>
    <w:rsid w:val="000D46E9"/>
    <w:rsid w:val="000E66CE"/>
    <w:rsid w:val="000F17CC"/>
    <w:rsid w:val="000F3F02"/>
    <w:rsid w:val="000F67FA"/>
    <w:rsid w:val="001218E5"/>
    <w:rsid w:val="00171BCC"/>
    <w:rsid w:val="00180C47"/>
    <w:rsid w:val="00183C93"/>
    <w:rsid w:val="00184A2F"/>
    <w:rsid w:val="00185E85"/>
    <w:rsid w:val="0019376B"/>
    <w:rsid w:val="00194041"/>
    <w:rsid w:val="001A3288"/>
    <w:rsid w:val="001D79D3"/>
    <w:rsid w:val="001F0D8D"/>
    <w:rsid w:val="00204314"/>
    <w:rsid w:val="002076A5"/>
    <w:rsid w:val="00223E8F"/>
    <w:rsid w:val="00233283"/>
    <w:rsid w:val="00245BF7"/>
    <w:rsid w:val="002541E3"/>
    <w:rsid w:val="00256AE8"/>
    <w:rsid w:val="0026205F"/>
    <w:rsid w:val="002857FB"/>
    <w:rsid w:val="00292674"/>
    <w:rsid w:val="002A5E18"/>
    <w:rsid w:val="002C0046"/>
    <w:rsid w:val="002C4F62"/>
    <w:rsid w:val="002C614A"/>
    <w:rsid w:val="002D11CE"/>
    <w:rsid w:val="002D5600"/>
    <w:rsid w:val="002F490E"/>
    <w:rsid w:val="002F5584"/>
    <w:rsid w:val="00342214"/>
    <w:rsid w:val="00345CF5"/>
    <w:rsid w:val="00364307"/>
    <w:rsid w:val="00364C46"/>
    <w:rsid w:val="00376724"/>
    <w:rsid w:val="003A4693"/>
    <w:rsid w:val="003A49D2"/>
    <w:rsid w:val="003A654C"/>
    <w:rsid w:val="003B53AE"/>
    <w:rsid w:val="003C35EB"/>
    <w:rsid w:val="003C5B88"/>
    <w:rsid w:val="00405A5A"/>
    <w:rsid w:val="00417CDA"/>
    <w:rsid w:val="00417E9F"/>
    <w:rsid w:val="004238A3"/>
    <w:rsid w:val="0045079E"/>
    <w:rsid w:val="00464021"/>
    <w:rsid w:val="0047520F"/>
    <w:rsid w:val="00486BE6"/>
    <w:rsid w:val="00490A82"/>
    <w:rsid w:val="004947BB"/>
    <w:rsid w:val="004A377D"/>
    <w:rsid w:val="004B113B"/>
    <w:rsid w:val="004B36F8"/>
    <w:rsid w:val="004C340D"/>
    <w:rsid w:val="004E03CF"/>
    <w:rsid w:val="004E0D66"/>
    <w:rsid w:val="004F4388"/>
    <w:rsid w:val="004F77B3"/>
    <w:rsid w:val="00506288"/>
    <w:rsid w:val="005333FB"/>
    <w:rsid w:val="005672D2"/>
    <w:rsid w:val="00571703"/>
    <w:rsid w:val="00594532"/>
    <w:rsid w:val="005B25C1"/>
    <w:rsid w:val="005D774A"/>
    <w:rsid w:val="005E404D"/>
    <w:rsid w:val="006054F1"/>
    <w:rsid w:val="00682AF1"/>
    <w:rsid w:val="00683AA9"/>
    <w:rsid w:val="006A39C4"/>
    <w:rsid w:val="006A5EC5"/>
    <w:rsid w:val="006A641D"/>
    <w:rsid w:val="006C09DC"/>
    <w:rsid w:val="006C3461"/>
    <w:rsid w:val="006D4883"/>
    <w:rsid w:val="006E2AD5"/>
    <w:rsid w:val="00746F53"/>
    <w:rsid w:val="00753A84"/>
    <w:rsid w:val="00757DA5"/>
    <w:rsid w:val="00787ECD"/>
    <w:rsid w:val="007A3332"/>
    <w:rsid w:val="007A7BB2"/>
    <w:rsid w:val="007B46B9"/>
    <w:rsid w:val="007C0624"/>
    <w:rsid w:val="007D7D52"/>
    <w:rsid w:val="007F0F47"/>
    <w:rsid w:val="00811519"/>
    <w:rsid w:val="00847D27"/>
    <w:rsid w:val="008524F2"/>
    <w:rsid w:val="0087122C"/>
    <w:rsid w:val="008C59EB"/>
    <w:rsid w:val="008E0ACD"/>
    <w:rsid w:val="008F6F39"/>
    <w:rsid w:val="00901B22"/>
    <w:rsid w:val="009221C5"/>
    <w:rsid w:val="00971AAB"/>
    <w:rsid w:val="00973E6D"/>
    <w:rsid w:val="009913E1"/>
    <w:rsid w:val="00993862"/>
    <w:rsid w:val="009C51A5"/>
    <w:rsid w:val="009D1E6B"/>
    <w:rsid w:val="009D717A"/>
    <w:rsid w:val="009E4D94"/>
    <w:rsid w:val="00A07215"/>
    <w:rsid w:val="00A1036C"/>
    <w:rsid w:val="00A1270F"/>
    <w:rsid w:val="00A14FA3"/>
    <w:rsid w:val="00A26798"/>
    <w:rsid w:val="00A27009"/>
    <w:rsid w:val="00A32759"/>
    <w:rsid w:val="00A34F2D"/>
    <w:rsid w:val="00A36F74"/>
    <w:rsid w:val="00A4042F"/>
    <w:rsid w:val="00A45569"/>
    <w:rsid w:val="00A55F7C"/>
    <w:rsid w:val="00AA6B8E"/>
    <w:rsid w:val="00AE2A1F"/>
    <w:rsid w:val="00B00DF2"/>
    <w:rsid w:val="00B049F9"/>
    <w:rsid w:val="00B1273D"/>
    <w:rsid w:val="00B2486A"/>
    <w:rsid w:val="00B538C2"/>
    <w:rsid w:val="00B630B3"/>
    <w:rsid w:val="00B72AF3"/>
    <w:rsid w:val="00B74FEF"/>
    <w:rsid w:val="00B75D51"/>
    <w:rsid w:val="00B769EB"/>
    <w:rsid w:val="00B819C7"/>
    <w:rsid w:val="00BB53EE"/>
    <w:rsid w:val="00BD32E3"/>
    <w:rsid w:val="00BD3376"/>
    <w:rsid w:val="00BD4DF2"/>
    <w:rsid w:val="00C237E8"/>
    <w:rsid w:val="00C55156"/>
    <w:rsid w:val="00C55A0E"/>
    <w:rsid w:val="00C74B1B"/>
    <w:rsid w:val="00C8200D"/>
    <w:rsid w:val="00CB0F40"/>
    <w:rsid w:val="00CC28A9"/>
    <w:rsid w:val="00CC3E7D"/>
    <w:rsid w:val="00CC4035"/>
    <w:rsid w:val="00CF053F"/>
    <w:rsid w:val="00D03CB6"/>
    <w:rsid w:val="00D06D46"/>
    <w:rsid w:val="00D31004"/>
    <w:rsid w:val="00D3628F"/>
    <w:rsid w:val="00D42B14"/>
    <w:rsid w:val="00D45D84"/>
    <w:rsid w:val="00D60296"/>
    <w:rsid w:val="00D66B3A"/>
    <w:rsid w:val="00D720D3"/>
    <w:rsid w:val="00D81577"/>
    <w:rsid w:val="00D85732"/>
    <w:rsid w:val="00D8779A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47A75"/>
    <w:rsid w:val="00E50176"/>
    <w:rsid w:val="00E543E8"/>
    <w:rsid w:val="00E6155D"/>
    <w:rsid w:val="00E7140A"/>
    <w:rsid w:val="00E93991"/>
    <w:rsid w:val="00EA7FEF"/>
    <w:rsid w:val="00EC1376"/>
    <w:rsid w:val="00EC299B"/>
    <w:rsid w:val="00EC7F21"/>
    <w:rsid w:val="00EF5ADF"/>
    <w:rsid w:val="00EF728E"/>
    <w:rsid w:val="00F17912"/>
    <w:rsid w:val="00F552D8"/>
    <w:rsid w:val="00F57B20"/>
    <w:rsid w:val="00F7690C"/>
    <w:rsid w:val="00F779FC"/>
    <w:rsid w:val="00F930E5"/>
    <w:rsid w:val="00FA175B"/>
    <w:rsid w:val="00FA26B6"/>
    <w:rsid w:val="00FC3B5C"/>
    <w:rsid w:val="00FC3B6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DA5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7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eeexplore.ieee.org/document/778068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ijcai.org/proceedings/2019/816" TargetMode="External"/><Relationship Id="rId17" Type="http://schemas.openxmlformats.org/officeDocument/2006/relationships/hyperlink" Target="https://link.springer.com/article/10.1007/S11263-019-01228-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86/s12916-022-02350-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eeexplore.ieee.org/document/8790681/refere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ll.com/iscience/fulltext/S2589-0042(21)00341-2?ref=https://giter.vip" TargetMode="External"/><Relationship Id="rId10" Type="http://schemas.openxmlformats.org/officeDocument/2006/relationships/hyperlink" Target="https://doi.org/10.1145/3375627.337583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oceedings.neurips.cc/paper/2017/file/8a20a8621978632d76c43dfd28b67767-Paper.pdf" TargetMode="External"/><Relationship Id="rId14" Type="http://schemas.openxmlformats.org/officeDocument/2006/relationships/hyperlink" Target="https://doi.org/10.3390/diagnostics130101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15</Pages>
  <Words>3007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160</cp:revision>
  <dcterms:created xsi:type="dcterms:W3CDTF">2025-04-26T15:02:00Z</dcterms:created>
  <dcterms:modified xsi:type="dcterms:W3CDTF">2025-05-01T17:33:00Z</dcterms:modified>
</cp:coreProperties>
</file>