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3F75" w14:textId="4DFA18DD" w:rsidR="00CA33FB" w:rsidRDefault="00B147EC" w:rsidP="00CA33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исследовании решалась задача классификации аритмий по ЭКГ на основе глубинного обучения и первой моделью нейронной сетью рассматривается глубокая нейронная сеть на основе </w:t>
      </w:r>
      <w:r w:rsidRPr="00B147EC">
        <w:rPr>
          <w:rFonts w:ascii="Times New Roman" w:hAnsi="Times New Roman" w:cs="Times New Roman"/>
          <w:sz w:val="28"/>
          <w:szCs w:val="28"/>
        </w:rPr>
        <w:t>1D CNN для автоматической многозначной классификации сердечных аритмий при записи ЭКГ в 12 отведениях</w:t>
      </w:r>
      <w:r w:rsidR="00444308" w:rsidRPr="00444308">
        <w:rPr>
          <w:rFonts w:ascii="Times New Roman" w:hAnsi="Times New Roman" w:cs="Times New Roman"/>
          <w:sz w:val="28"/>
          <w:szCs w:val="28"/>
        </w:rPr>
        <w:t xml:space="preserve"> [1]</w:t>
      </w:r>
      <w:r w:rsidRPr="00B147EC">
        <w:rPr>
          <w:rFonts w:ascii="Times New Roman" w:hAnsi="Times New Roman" w:cs="Times New Roman"/>
          <w:sz w:val="28"/>
          <w:szCs w:val="28"/>
        </w:rPr>
        <w:t>, и модель достигла сопоставимых современных в наборе данных CPSC2018</w:t>
      </w:r>
      <w:r w:rsidR="00444308" w:rsidRPr="00444308">
        <w:rPr>
          <w:rFonts w:ascii="Times New Roman" w:hAnsi="Times New Roman" w:cs="Times New Roman"/>
          <w:sz w:val="28"/>
          <w:szCs w:val="28"/>
        </w:rPr>
        <w:t xml:space="preserve"> [2]</w:t>
      </w:r>
      <w:r w:rsidR="00975095">
        <w:rPr>
          <w:rFonts w:ascii="Times New Roman" w:hAnsi="Times New Roman" w:cs="Times New Roman"/>
          <w:sz w:val="28"/>
          <w:szCs w:val="28"/>
        </w:rPr>
        <w:t xml:space="preserve">. </w:t>
      </w:r>
      <w:r w:rsidR="00CA33FB">
        <w:rPr>
          <w:rFonts w:ascii="Times New Roman" w:hAnsi="Times New Roman" w:cs="Times New Roman"/>
          <w:sz w:val="28"/>
          <w:szCs w:val="28"/>
        </w:rPr>
        <w:t xml:space="preserve">Архитектура нейронной сети представлена на </w:t>
      </w:r>
      <w:r w:rsidR="00CA33FB" w:rsidRPr="00CA33FB">
        <w:rPr>
          <w:rFonts w:ascii="Times New Roman" w:hAnsi="Times New Roman" w:cs="Times New Roman"/>
          <w:b/>
          <w:bCs/>
          <w:sz w:val="28"/>
          <w:szCs w:val="28"/>
        </w:rPr>
        <w:t>рисунке 1</w:t>
      </w:r>
      <w:r w:rsidR="00CA33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C26A26" w14:textId="03B88A1B" w:rsidR="00CA33FB" w:rsidRDefault="00CA33FB" w:rsidP="00FF5F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6E002" wp14:editId="1F39C8C6">
            <wp:extent cx="3034513" cy="4717657"/>
            <wp:effectExtent l="0" t="0" r="0" b="6985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13" cy="4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13AD" w14:textId="5180446C" w:rsidR="00CA33FB" w:rsidRDefault="00CA33FB" w:rsidP="00FF5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3FB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CA33F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A33FB">
        <w:rPr>
          <w:rFonts w:ascii="Times New Roman" w:hAnsi="Times New Roman" w:cs="Times New Roman"/>
          <w:b/>
          <w:bCs/>
          <w:sz w:val="28"/>
          <w:szCs w:val="28"/>
        </w:rPr>
        <w:t> Архитектура глубокой нейронной сети для диагностики аритмии сердца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BA61C8" w14:textId="19BA7C63" w:rsidR="00FF5F92" w:rsidRPr="0038490E" w:rsidRDefault="00CA33FB" w:rsidP="00D467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="00D00A99" w:rsidRPr="00D00A99">
        <w:rPr>
          <w:rFonts w:ascii="Times New Roman" w:hAnsi="Times New Roman" w:cs="Times New Roman"/>
          <w:sz w:val="28"/>
          <w:szCs w:val="28"/>
        </w:rPr>
        <w:t xml:space="preserve"> [</w:t>
      </w:r>
      <w:r w:rsidR="00D00A99" w:rsidRPr="00D4673A">
        <w:rPr>
          <w:rFonts w:ascii="Times New Roman" w:hAnsi="Times New Roman" w:cs="Times New Roman"/>
          <w:sz w:val="28"/>
          <w:szCs w:val="28"/>
        </w:rPr>
        <w:t>1</w:t>
      </w:r>
      <w:r w:rsidR="00D00A99" w:rsidRPr="00D00A99">
        <w:rPr>
          <w:rFonts w:ascii="Times New Roman" w:hAnsi="Times New Roman" w:cs="Times New Roman"/>
          <w:sz w:val="28"/>
          <w:szCs w:val="28"/>
        </w:rPr>
        <w:t>]</w:t>
      </w:r>
      <w:r w:rsidRPr="00CA33FB">
        <w:rPr>
          <w:rFonts w:ascii="Times New Roman" w:hAnsi="Times New Roman" w:cs="Times New Roman"/>
          <w:sz w:val="28"/>
          <w:szCs w:val="28"/>
        </w:rPr>
        <w:t xml:space="preserve">: </w:t>
      </w:r>
      <w:r w:rsidRPr="00CA33FB">
        <w:rPr>
          <w:rFonts w:ascii="Times New Roman" w:hAnsi="Times New Roman" w:cs="Times New Roman"/>
          <w:sz w:val="28"/>
          <w:szCs w:val="28"/>
        </w:rPr>
        <w:t>SNR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AF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IAVB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LBBB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RBBB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PAC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PVC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STD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STE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AVG</w:t>
      </w:r>
      <w:r w:rsidRPr="00CA33FB">
        <w:rPr>
          <w:rFonts w:ascii="Times New Roman" w:hAnsi="Times New Roman" w:cs="Times New Roman"/>
          <w:sz w:val="28"/>
          <w:szCs w:val="28"/>
        </w:rPr>
        <w:t>.</w:t>
      </w:r>
      <w:r w:rsidR="00D4673A">
        <w:rPr>
          <w:rFonts w:ascii="Times New Roman" w:hAnsi="Times New Roman" w:cs="Times New Roman"/>
          <w:sz w:val="28"/>
          <w:szCs w:val="28"/>
        </w:rPr>
        <w:t xml:space="preserve"> </w:t>
      </w:r>
      <w:r w:rsidR="009669C6"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 w:rsidR="009669C6"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="009669C6" w:rsidRPr="009669C6">
        <w:rPr>
          <w:rFonts w:ascii="Times New Roman" w:hAnsi="Times New Roman" w:cs="Times New Roman"/>
          <w:sz w:val="28"/>
          <w:szCs w:val="28"/>
        </w:rPr>
        <w:t xml:space="preserve">, </w:t>
      </w:r>
      <w:r w:rsidR="009669C6"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="009669C6" w:rsidRPr="009669C6">
        <w:rPr>
          <w:rFonts w:ascii="Times New Roman" w:hAnsi="Times New Roman" w:cs="Times New Roman"/>
          <w:sz w:val="28"/>
          <w:szCs w:val="28"/>
        </w:rPr>
        <w:t>использ</w:t>
      </w:r>
      <w:r w:rsidR="009669C6">
        <w:rPr>
          <w:rFonts w:ascii="Times New Roman" w:hAnsi="Times New Roman" w:cs="Times New Roman"/>
          <w:sz w:val="28"/>
          <w:szCs w:val="28"/>
        </w:rPr>
        <w:t>уется</w:t>
      </w:r>
      <w:r w:rsidR="009669C6"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9669C6" w:rsidRPr="00FF5F92">
        <w:rPr>
          <w:rFonts w:ascii="Times New Roman" w:hAnsi="Times New Roman" w:cs="Times New Roman"/>
          <w:sz w:val="28"/>
          <w:szCs w:val="28"/>
        </w:rPr>
        <w:t>SHapley</w:t>
      </w:r>
      <w:proofErr w:type="spellEnd"/>
      <w:r w:rsidR="009669C6" w:rsidRPr="00FF5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9C6" w:rsidRPr="00FF5F92">
        <w:rPr>
          <w:rFonts w:ascii="Times New Roman" w:hAnsi="Times New Roman" w:cs="Times New Roman"/>
          <w:sz w:val="28"/>
          <w:szCs w:val="28"/>
        </w:rPr>
        <w:t>Additive</w:t>
      </w:r>
      <w:proofErr w:type="spellEnd"/>
      <w:r w:rsidR="009669C6" w:rsidRPr="00FF5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9C6" w:rsidRPr="00FF5F92">
        <w:rPr>
          <w:rFonts w:ascii="Times New Roman" w:hAnsi="Times New Roman" w:cs="Times New Roman"/>
          <w:sz w:val="28"/>
          <w:szCs w:val="28"/>
        </w:rPr>
        <w:t>exPlanations</w:t>
      </w:r>
      <w:proofErr w:type="spellEnd"/>
      <w:r w:rsidR="009669C6">
        <w:rPr>
          <w:rFonts w:ascii="Times New Roman" w:hAnsi="Times New Roman" w:cs="Times New Roman"/>
          <w:sz w:val="28"/>
          <w:szCs w:val="28"/>
        </w:rPr>
        <w:t xml:space="preserve"> </w:t>
      </w:r>
      <w:r w:rsidR="009669C6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9669C6" w:rsidRPr="009669C6">
        <w:rPr>
          <w:rFonts w:ascii="Times New Roman" w:hAnsi="Times New Roman" w:cs="Times New Roman"/>
          <w:sz w:val="28"/>
          <w:szCs w:val="28"/>
        </w:rPr>
        <w:t>SHAP</w:t>
      </w:r>
      <w:r w:rsidR="009669C6">
        <w:rPr>
          <w:rFonts w:ascii="Times New Roman" w:hAnsi="Times New Roman" w:cs="Times New Roman"/>
          <w:sz w:val="28"/>
          <w:szCs w:val="28"/>
        </w:rPr>
        <w:t xml:space="preserve">) </w:t>
      </w:r>
      <w:r w:rsidR="009669C6" w:rsidRPr="009669C6">
        <w:rPr>
          <w:rFonts w:ascii="Times New Roman" w:hAnsi="Times New Roman" w:cs="Times New Roman"/>
          <w:sz w:val="28"/>
          <w:szCs w:val="28"/>
        </w:rPr>
        <w:t>[</w:t>
      </w:r>
      <w:r w:rsidR="0038490E" w:rsidRPr="0038490E">
        <w:rPr>
          <w:rFonts w:ascii="Times New Roman" w:hAnsi="Times New Roman" w:cs="Times New Roman"/>
          <w:sz w:val="28"/>
          <w:szCs w:val="28"/>
        </w:rPr>
        <w:t>3</w:t>
      </w:r>
      <w:r w:rsidR="009669C6" w:rsidRPr="009669C6">
        <w:rPr>
          <w:rFonts w:ascii="Times New Roman" w:hAnsi="Times New Roman" w:cs="Times New Roman"/>
          <w:sz w:val="28"/>
          <w:szCs w:val="28"/>
        </w:rPr>
        <w:t>]</w:t>
      </w:r>
      <w:r w:rsidR="009669C6"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 w:rsidR="0038490E" w:rsidRPr="0038490E">
        <w:rPr>
          <w:rFonts w:ascii="Times New Roman" w:hAnsi="Times New Roman" w:cs="Times New Roman"/>
          <w:sz w:val="28"/>
          <w:szCs w:val="28"/>
        </w:rPr>
        <w:t>.</w:t>
      </w:r>
    </w:p>
    <w:p w14:paraId="5A67D9BF" w14:textId="4FA3B3EF" w:rsidR="0038490E" w:rsidRDefault="000916EA" w:rsidP="00FF5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16EA">
        <w:rPr>
          <w:rFonts w:ascii="Times New Roman" w:hAnsi="Times New Roman" w:cs="Times New Roman"/>
          <w:b/>
          <w:bCs/>
          <w:sz w:val="28"/>
          <w:szCs w:val="28"/>
        </w:rPr>
        <w:t xml:space="preserve">Вычислительные эксперименты </w:t>
      </w:r>
    </w:p>
    <w:p w14:paraId="283110BA" w14:textId="270E7D8B" w:rsidR="000916EA" w:rsidRDefault="000916EA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1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3049A" wp14:editId="15192FAE">
            <wp:extent cx="4720307" cy="4038600"/>
            <wp:effectExtent l="0" t="0" r="4445" b="0"/>
            <wp:docPr id="1064920744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20744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101" cy="4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8908" w14:textId="1B49604C" w:rsidR="00631FAC" w:rsidRPr="00C21D7B" w:rsidRDefault="00631FAC" w:rsidP="00FF5F92">
      <w:pPr>
        <w:jc w:val="both"/>
        <w:rPr>
          <w:rFonts w:ascii="Times New Roman" w:hAnsi="Times New Roman" w:cs="Times New Roman"/>
          <w:sz w:val="28"/>
          <w:szCs w:val="28"/>
        </w:rPr>
      </w:pPr>
      <w:r w:rsidRPr="00631FAC">
        <w:rPr>
          <w:rFonts w:ascii="Times New Roman" w:hAnsi="Times New Roman" w:cs="Times New Roman"/>
          <w:b/>
          <w:bCs/>
          <w:sz w:val="28"/>
          <w:szCs w:val="28"/>
        </w:rPr>
        <w:t>Таблица 1</w:t>
      </w:r>
      <w:r w:rsidR="00C21D7B">
        <w:rPr>
          <w:rFonts w:ascii="Times New Roman" w:hAnsi="Times New Roman" w:cs="Times New Roman"/>
          <w:sz w:val="28"/>
          <w:szCs w:val="28"/>
        </w:rPr>
        <w:t xml:space="preserve"> </w:t>
      </w:r>
      <w:r w:rsidRPr="00631FAC">
        <w:rPr>
          <w:rFonts w:ascii="Times New Roman" w:hAnsi="Times New Roman" w:cs="Times New Roman"/>
          <w:b/>
          <w:bCs/>
          <w:sz w:val="28"/>
          <w:szCs w:val="28"/>
        </w:rPr>
        <w:t>Производительность модели с двенадцатью отведениями, усредненная по результатам 10-кратных тестов</w:t>
      </w:r>
      <w:r w:rsidRPr="00C21D7B">
        <w:rPr>
          <w:rFonts w:ascii="Times New Roman" w:hAnsi="Times New Roman" w:cs="Times New Roman"/>
          <w:b/>
          <w:bCs/>
          <w:sz w:val="28"/>
          <w:szCs w:val="28"/>
        </w:rPr>
        <w:t xml:space="preserve"> (или 40 – эпох же 40 в модели</w:t>
      </w:r>
      <w:r w:rsidR="00F41ECE" w:rsidRPr="00C21D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21D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8F0F24" w14:textId="54E786E1" w:rsidR="00F41ECE" w:rsidRDefault="006E1126" w:rsidP="006E1126">
      <w:pPr>
        <w:jc w:val="both"/>
        <w:rPr>
          <w:rFonts w:ascii="Times New Roman" w:hAnsi="Times New Roman" w:cs="Times New Roman"/>
          <w:sz w:val="28"/>
          <w:szCs w:val="28"/>
        </w:rPr>
      </w:pPr>
      <w:r w:rsidRPr="00C21D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обучении модели были вычислены основные метрики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6E1126">
        <w:rPr>
          <w:rFonts w:ascii="Times New Roman" w:hAnsi="Times New Roman" w:cs="Times New Roman"/>
          <w:sz w:val="28"/>
          <w:szCs w:val="28"/>
        </w:rPr>
        <w:t>recision</w:t>
      </w:r>
      <w:proofErr w:type="spellEnd"/>
      <w:r w:rsidRPr="006E1126">
        <w:rPr>
          <w:rFonts w:ascii="Times New Roman" w:hAnsi="Times New Roman" w:cs="Times New Roman"/>
          <w:sz w:val="28"/>
          <w:szCs w:val="28"/>
        </w:rPr>
        <w:t>, r</w:t>
      </w:r>
      <w:proofErr w:type="spellStart"/>
      <w:r w:rsidRPr="006E1126">
        <w:rPr>
          <w:rFonts w:ascii="Times New Roman" w:hAnsi="Times New Roman" w:cs="Times New Roman"/>
          <w:sz w:val="28"/>
          <w:szCs w:val="28"/>
        </w:rPr>
        <w:t>ecall</w:t>
      </w:r>
      <w:proofErr w:type="spellEnd"/>
      <w:r w:rsidRPr="006E1126">
        <w:rPr>
          <w:rFonts w:ascii="Times New Roman" w:hAnsi="Times New Roman" w:cs="Times New Roman"/>
          <w:sz w:val="28"/>
          <w:szCs w:val="28"/>
        </w:rPr>
        <w:t xml:space="preserve">, F1 </w:t>
      </w:r>
      <w:proofErr w:type="spellStart"/>
      <w:r w:rsidRPr="006E1126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6E1126">
        <w:rPr>
          <w:rFonts w:ascii="Times New Roman" w:hAnsi="Times New Roman" w:cs="Times New Roman"/>
          <w:sz w:val="28"/>
          <w:szCs w:val="28"/>
        </w:rPr>
        <w:t xml:space="preserve">, AUC,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1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26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на наборе тестовых данных </w:t>
      </w:r>
      <w:r w:rsidRPr="00F41ECE">
        <w:rPr>
          <w:rFonts w:ascii="Times New Roman" w:hAnsi="Times New Roman" w:cs="Times New Roman"/>
          <w:sz w:val="28"/>
          <w:szCs w:val="28"/>
        </w:rPr>
        <w:t xml:space="preserve">из 10 раундов </w:t>
      </w:r>
      <w:r w:rsidRPr="00F41ECE">
        <w:rPr>
          <w:rFonts w:ascii="Times New Roman" w:hAnsi="Times New Roman" w:cs="Times New Roman"/>
          <w:b/>
          <w:bCs/>
          <w:sz w:val="28"/>
          <w:szCs w:val="28"/>
        </w:rPr>
        <w:t>(или 40 – эпох же 40 в модели?)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1ECE">
        <w:rPr>
          <w:rFonts w:ascii="Times New Roman" w:hAnsi="Times New Roman" w:cs="Times New Roman"/>
          <w:sz w:val="28"/>
          <w:szCs w:val="28"/>
        </w:rPr>
        <w:t>усреднены и представлены в </w:t>
      </w:r>
      <w:r>
        <w:rPr>
          <w:rFonts w:ascii="Times New Roman" w:hAnsi="Times New Roman" w:cs="Times New Roman"/>
          <w:sz w:val="28"/>
          <w:szCs w:val="28"/>
        </w:rPr>
        <w:t>таблице 1.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 </w:t>
      </w:r>
      <w:r w:rsidR="00F41ECE" w:rsidRPr="00F41ECE">
        <w:rPr>
          <w:rFonts w:ascii="Times New Roman" w:hAnsi="Times New Roman" w:cs="Times New Roman"/>
          <w:sz w:val="28"/>
          <w:szCs w:val="28"/>
        </w:rPr>
        <w:t>AUC и точност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модели глубокого обучения превысили 0,95, а средняя оценка F1 составила 0,</w:t>
      </w:r>
      <w:r>
        <w:rPr>
          <w:rFonts w:ascii="Times New Roman" w:hAnsi="Times New Roman" w:cs="Times New Roman"/>
          <w:sz w:val="28"/>
          <w:szCs w:val="28"/>
        </w:rPr>
        <w:t>788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при средней точности 0,8</w:t>
      </w:r>
      <w:r>
        <w:rPr>
          <w:rFonts w:ascii="Times New Roman" w:hAnsi="Times New Roman" w:cs="Times New Roman"/>
          <w:sz w:val="28"/>
          <w:szCs w:val="28"/>
        </w:rPr>
        <w:t>05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и средней полноте 0,8</w:t>
      </w:r>
      <w:r>
        <w:rPr>
          <w:rFonts w:ascii="Times New Roman" w:hAnsi="Times New Roman" w:cs="Times New Roman"/>
          <w:sz w:val="28"/>
          <w:szCs w:val="28"/>
        </w:rPr>
        <w:t xml:space="preserve">09 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. Среди всех видов сердечной аритмии глубокая модель лучше всего справилась с классификацией </w:t>
      </w:r>
      <w:r w:rsidRPr="006E1126">
        <w:rPr>
          <w:rFonts w:ascii="Times New Roman" w:hAnsi="Times New Roman" w:cs="Times New Roman"/>
          <w:sz w:val="28"/>
          <w:szCs w:val="28"/>
        </w:rPr>
        <w:t xml:space="preserve">AF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1126">
        <w:rPr>
          <w:rFonts w:ascii="Times New Roman" w:hAnsi="Times New Roman" w:cs="Times New Roman"/>
          <w:sz w:val="28"/>
          <w:szCs w:val="28"/>
        </w:rPr>
        <w:t xml:space="preserve"> RBBB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с показателем F1 более 0,9. Однако</w:t>
      </w:r>
      <w:r>
        <w:rPr>
          <w:rFonts w:ascii="Times New Roman" w:hAnsi="Times New Roman" w:cs="Times New Roman"/>
          <w:sz w:val="28"/>
          <w:szCs w:val="28"/>
        </w:rPr>
        <w:t xml:space="preserve"> стоит заметить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, что показатель F1 </w:t>
      </w:r>
      <w:r w:rsidR="004571D0">
        <w:rPr>
          <w:rFonts w:ascii="Times New Roman" w:hAnsi="Times New Roman" w:cs="Times New Roman"/>
          <w:sz w:val="28"/>
          <w:szCs w:val="28"/>
        </w:rPr>
        <w:t xml:space="preserve">и </w:t>
      </w:r>
      <w:r w:rsidR="004571D0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4571D0" w:rsidRPr="004571D0">
        <w:rPr>
          <w:rFonts w:ascii="Times New Roman" w:hAnsi="Times New Roman" w:cs="Times New Roman"/>
          <w:sz w:val="28"/>
          <w:szCs w:val="28"/>
        </w:rPr>
        <w:t xml:space="preserve"> </w:t>
      </w:r>
      <w:r w:rsidR="00F41ECE" w:rsidRPr="00F41ECE">
        <w:rPr>
          <w:rFonts w:ascii="Times New Roman" w:hAnsi="Times New Roman" w:cs="Times New Roman"/>
          <w:sz w:val="28"/>
          <w:szCs w:val="28"/>
        </w:rPr>
        <w:t>для STE составля</w:t>
      </w:r>
      <w:r w:rsidR="004571D0">
        <w:rPr>
          <w:rFonts w:ascii="Times New Roman" w:hAnsi="Times New Roman" w:cs="Times New Roman"/>
          <w:sz w:val="28"/>
          <w:szCs w:val="28"/>
        </w:rPr>
        <w:t>ют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всего 0,</w:t>
      </w:r>
      <w:r>
        <w:rPr>
          <w:rFonts w:ascii="Times New Roman" w:hAnsi="Times New Roman" w:cs="Times New Roman"/>
          <w:sz w:val="28"/>
          <w:szCs w:val="28"/>
        </w:rPr>
        <w:t>276</w:t>
      </w:r>
      <w:r w:rsidR="004571D0" w:rsidRPr="004571D0">
        <w:rPr>
          <w:rFonts w:ascii="Times New Roman" w:hAnsi="Times New Roman" w:cs="Times New Roman"/>
          <w:sz w:val="28"/>
          <w:szCs w:val="28"/>
        </w:rPr>
        <w:t xml:space="preserve"> </w:t>
      </w:r>
      <w:r w:rsidR="004571D0">
        <w:rPr>
          <w:rFonts w:ascii="Times New Roman" w:hAnsi="Times New Roman" w:cs="Times New Roman"/>
          <w:sz w:val="28"/>
          <w:szCs w:val="28"/>
        </w:rPr>
        <w:t>и 0.174 соответственно</w:t>
      </w:r>
      <w:r w:rsidR="00F41ECE" w:rsidRPr="00F41ECE">
        <w:rPr>
          <w:rFonts w:ascii="Times New Roman" w:hAnsi="Times New Roman" w:cs="Times New Roman"/>
          <w:sz w:val="28"/>
          <w:szCs w:val="28"/>
        </w:rPr>
        <w:t>, что может быть связано со значительными разногласиями между врачами при диагностике STE по ЭКГ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126">
        <w:rPr>
          <w:rFonts w:ascii="Times New Roman" w:hAnsi="Times New Roman" w:cs="Times New Roman"/>
          <w:sz w:val="28"/>
          <w:szCs w:val="28"/>
        </w:rPr>
        <w:t>[4].</w:t>
      </w:r>
    </w:p>
    <w:p w14:paraId="5BC9C56F" w14:textId="77777777" w:rsidR="00467D94" w:rsidRDefault="00467D94" w:rsidP="00467D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7D94">
        <w:rPr>
          <w:rFonts w:ascii="Times New Roman" w:hAnsi="Times New Roman" w:cs="Times New Roman"/>
          <w:b/>
          <w:bCs/>
          <w:sz w:val="28"/>
          <w:szCs w:val="28"/>
        </w:rPr>
        <w:t>Интерпретируемость модели</w:t>
      </w:r>
    </w:p>
    <w:p w14:paraId="20AF9E7E" w14:textId="75F425C2" w:rsidR="00467D94" w:rsidRDefault="00467D94" w:rsidP="00467D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59784B" wp14:editId="7D3B326B">
            <wp:extent cx="6108422" cy="1905000"/>
            <wp:effectExtent l="0" t="0" r="6985" b="0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991" cy="19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6AB0" w14:textId="37759BAE" w:rsidR="00467D94" w:rsidRDefault="00467D94" w:rsidP="00467D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7D94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proofErr w:type="gramStart"/>
      <w:r w:rsidRPr="00467D94">
        <w:rPr>
          <w:rFonts w:ascii="Times New Roman" w:hAnsi="Times New Roman" w:cs="Times New Roman"/>
          <w:b/>
          <w:bCs/>
          <w:sz w:val="28"/>
          <w:szCs w:val="28"/>
        </w:rPr>
        <w:t>4 </w:t>
      </w:r>
      <w:r w:rsidR="004D1A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7D94">
        <w:rPr>
          <w:rFonts w:ascii="Times New Roman" w:hAnsi="Times New Roman" w:cs="Times New Roman"/>
          <w:b/>
          <w:bCs/>
          <w:sz w:val="28"/>
          <w:szCs w:val="28"/>
        </w:rPr>
        <w:t>Интерпретируемость</w:t>
      </w:r>
      <w:proofErr w:type="gramEnd"/>
      <w:r w:rsidRPr="00467D94">
        <w:rPr>
          <w:rFonts w:ascii="Times New Roman" w:hAnsi="Times New Roman" w:cs="Times New Roman"/>
          <w:b/>
          <w:bCs/>
          <w:sz w:val="28"/>
          <w:szCs w:val="28"/>
        </w:rPr>
        <w:t xml:space="preserve"> модели глубокого обучения как на уровне пациента, так и на уровне популяции с использованием значений SHAP</w:t>
      </w:r>
    </w:p>
    <w:p w14:paraId="66EDBC98" w14:textId="77777777" w:rsidR="00D469DE" w:rsidRPr="00467D94" w:rsidRDefault="00D469DE" w:rsidP="00467D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FE4B3" w14:textId="77777777" w:rsidR="008C2ED8" w:rsidRDefault="008C2ED8" w:rsidP="008C2E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ED8">
        <w:rPr>
          <w:rFonts w:ascii="Times New Roman" w:hAnsi="Times New Roman" w:cs="Times New Roman"/>
          <w:b/>
          <w:bCs/>
          <w:sz w:val="28"/>
          <w:szCs w:val="28"/>
        </w:rPr>
        <w:t>Интерпретация на уровне пациента</w:t>
      </w:r>
    </w:p>
    <w:p w14:paraId="16AD6DDE" w14:textId="78100C1B" w:rsidR="00AC0972" w:rsidRDefault="00AC0972" w:rsidP="008C2E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AD5488" wp14:editId="4574633D">
            <wp:extent cx="5731510" cy="3820795"/>
            <wp:effectExtent l="0" t="0" r="2540" b="8255"/>
            <wp:docPr id="796993295" name="Рисунок 5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93295" name="Рисунок 5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543A" w14:textId="124F605E" w:rsidR="00AC0972" w:rsidRPr="008C2ED8" w:rsidRDefault="00AC0972" w:rsidP="008C2E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5 </w:t>
      </w:r>
      <w:r w:rsidRPr="00AC0972">
        <w:rPr>
          <w:rFonts w:ascii="Times New Roman" w:hAnsi="Times New Roman" w:cs="Times New Roman"/>
          <w:b/>
          <w:bCs/>
          <w:sz w:val="28"/>
          <w:szCs w:val="28"/>
        </w:rPr>
        <w:t>Пример интерпретации на уровне пациента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под номером 3</w:t>
      </w:r>
    </w:p>
    <w:p w14:paraId="0B40CA43" w14:textId="4AE42D20" w:rsidR="00AC0972" w:rsidRPr="00A3244F" w:rsidRDefault="00851A87" w:rsidP="008C2E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показана </w:t>
      </w:r>
      <w:r w:rsidRPr="00851A87">
        <w:rPr>
          <w:rFonts w:ascii="Times New Roman" w:hAnsi="Times New Roman" w:cs="Times New Roman"/>
          <w:sz w:val="28"/>
          <w:szCs w:val="28"/>
        </w:rPr>
        <w:t>идентификация моделью нерегулярных комплексов QRS (комбинаций волн Q, R, S, наблюдаемых на типичной ЭКГ) с отсутствием волн P в качестве классического примера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 w:rsidR="00A3244F">
        <w:rPr>
          <w:rFonts w:ascii="Times New Roman" w:hAnsi="Times New Roman" w:cs="Times New Roman"/>
          <w:sz w:val="28"/>
          <w:szCs w:val="28"/>
        </w:rPr>
        <w:t>.</w:t>
      </w:r>
    </w:p>
    <w:p w14:paraId="335AE827" w14:textId="77777777" w:rsidR="00AC0972" w:rsidRDefault="00AC0972" w:rsidP="008C2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A3298" w14:textId="4F9C1EEA" w:rsidR="008C2ED8" w:rsidRPr="008C2ED8" w:rsidRDefault="008C2ED8" w:rsidP="008C2E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E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Интерпретация на уровне популяции</w:t>
      </w:r>
    </w:p>
    <w:p w14:paraId="405423DD" w14:textId="3D3304CA" w:rsidR="00467D94" w:rsidRDefault="008C2ED8" w:rsidP="006E1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B9146" wp14:editId="424F4B39">
            <wp:extent cx="5731510" cy="4298950"/>
            <wp:effectExtent l="0" t="0" r="2540" b="6350"/>
            <wp:docPr id="1058182017" name="Рисунок 4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82017" name="Рисунок 4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53E8" w14:textId="7A1C7EC8" w:rsidR="00D469DE" w:rsidRDefault="008C2ED8" w:rsidP="00FF5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ED8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proofErr w:type="gramStart"/>
      <w:r w:rsidR="0060059D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8C2ED8">
        <w:rPr>
          <w:rFonts w:ascii="Times New Roman" w:hAnsi="Times New Roman" w:cs="Times New Roman"/>
          <w:b/>
          <w:bCs/>
          <w:sz w:val="28"/>
          <w:szCs w:val="28"/>
        </w:rPr>
        <w:t> Интерпретация</w:t>
      </w:r>
      <w:proofErr w:type="gramEnd"/>
      <w:r w:rsidRPr="008C2ED8">
        <w:rPr>
          <w:rFonts w:ascii="Times New Roman" w:hAnsi="Times New Roman" w:cs="Times New Roman"/>
          <w:b/>
          <w:bCs/>
          <w:sz w:val="28"/>
          <w:szCs w:val="28"/>
        </w:rPr>
        <w:t xml:space="preserve"> на популяционном уровне путем расчета доли вклада отведений ЭКГ в диагностические классы в 12-отводной глубокой модели</w:t>
      </w:r>
    </w:p>
    <w:p w14:paraId="16529406" w14:textId="0C4A7726" w:rsidR="00151FEB" w:rsidRPr="00151FEB" w:rsidRDefault="00D469DE" w:rsidP="00ED46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60059D">
        <w:rPr>
          <w:rFonts w:ascii="Times New Roman" w:hAnsi="Times New Roman" w:cs="Times New Roman"/>
          <w:sz w:val="28"/>
          <w:szCs w:val="28"/>
        </w:rPr>
        <w:t xml:space="preserve"> 6</w:t>
      </w:r>
      <w:r w:rsidRPr="00D469DE">
        <w:rPr>
          <w:rFonts w:ascii="Times New Roman" w:hAnsi="Times New Roman" w:cs="Times New Roman"/>
          <w:sz w:val="28"/>
          <w:szCs w:val="28"/>
        </w:rPr>
        <w:t> демонстрирует долю вклада отведений ЭКГ в диагностические классы в 12-отводной глубокой модели</w:t>
      </w:r>
      <w:r w:rsidR="00151FEB">
        <w:rPr>
          <w:rFonts w:ascii="Times New Roman" w:hAnsi="Times New Roman" w:cs="Times New Roman"/>
          <w:sz w:val="28"/>
          <w:szCs w:val="28"/>
        </w:rPr>
        <w:t xml:space="preserve">. 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Для диагностики фибрилляции предсердий (AF) и AV-блокады (IAVB) важна визуализация зубцов P и интервалов PR. Эти признаки лучше всего проявляются на отведениях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II и V1</w:t>
      </w:r>
      <w:r w:rsidR="00151FEB" w:rsidRPr="00151FEB">
        <w:rPr>
          <w:rFonts w:ascii="Times New Roman" w:hAnsi="Times New Roman" w:cs="Times New Roman"/>
          <w:sz w:val="28"/>
          <w:szCs w:val="28"/>
        </w:rPr>
        <w:t>, что подтверждается их высоким рейтингом значимости в модели.</w:t>
      </w:r>
      <w:r w:rsidR="00151FEB">
        <w:rPr>
          <w:rFonts w:ascii="Times New Roman" w:hAnsi="Times New Roman" w:cs="Times New Roman"/>
          <w:sz w:val="28"/>
          <w:szCs w:val="28"/>
        </w:rPr>
        <w:t xml:space="preserve"> 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LBBB и RBBB характеризуются специфическими изменениями в грудных отведениях: глубокими S-волнами в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V1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 при LBBB и паттерном RSR’ в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V1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 при RBBB. Вклад этих отведений в классификацию данных состояний согласуется с клиническими интерпретациями ЭКГ.</w:t>
      </w:r>
      <w:r w:rsidR="00151FEB">
        <w:rPr>
          <w:rFonts w:ascii="Times New Roman" w:hAnsi="Times New Roman" w:cs="Times New Roman"/>
          <w:sz w:val="28"/>
          <w:szCs w:val="28"/>
        </w:rPr>
        <w:t xml:space="preserve"> 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Для диагностики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ST-депрессии (STD) и ST-элевации (STE)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 важны отведения, отражающие ишемические изменения в зависимости от локализации поражения. Модель выявила значительную роль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V1, V2, V3, V5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, что соответствует типичному распределению ишемических изменений при </w:t>
      </w:r>
      <w:r w:rsidR="00151FEB" w:rsidRPr="00151FEB">
        <w:rPr>
          <w:rFonts w:ascii="Times New Roman" w:hAnsi="Times New Roman" w:cs="Times New Roman"/>
          <w:sz w:val="28"/>
          <w:szCs w:val="28"/>
        </w:rPr>
        <w:lastRenderedPageBreak/>
        <w:t>остром коронарном синдроме.</w:t>
      </w:r>
      <w:r w:rsidR="00151FEB">
        <w:rPr>
          <w:rFonts w:ascii="Times New Roman" w:hAnsi="Times New Roman" w:cs="Times New Roman"/>
          <w:sz w:val="28"/>
          <w:szCs w:val="28"/>
        </w:rPr>
        <w:t xml:space="preserve"> 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В среднем (AVG), наибольшее значение имеют </w:t>
      </w:r>
      <w:proofErr w:type="spellStart"/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aVF</w:t>
      </w:r>
      <w:proofErr w:type="spellEnd"/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, V1, V2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, что подчеркивает их важность в 12-отводной модели. В то же время отведения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 xml:space="preserve">III и </w:t>
      </w:r>
      <w:proofErr w:type="spellStart"/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aVL</w:t>
      </w:r>
      <w:proofErr w:type="spellEnd"/>
      <w:r w:rsidR="00151FEB" w:rsidRPr="00151FEB">
        <w:rPr>
          <w:rFonts w:ascii="Times New Roman" w:hAnsi="Times New Roman" w:cs="Times New Roman"/>
          <w:sz w:val="28"/>
          <w:szCs w:val="28"/>
        </w:rPr>
        <w:t xml:space="preserve"> демонстрируют сравнительно низкий вклад, что может означать их меньшую информативность для данной модели. Это может быть связано с корреляцией сигналов между различными отведениями.</w:t>
      </w:r>
    </w:p>
    <w:p w14:paraId="4CC71F1B" w14:textId="79056F1C" w:rsidR="00D469DE" w:rsidRPr="00D469DE" w:rsidRDefault="00D469DE" w:rsidP="00FF5F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56008A" w14:textId="02AC3DE8" w:rsidR="008C2ED8" w:rsidRPr="00D469DE" w:rsidRDefault="008C2ED8" w:rsidP="00FF5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E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095" w:rsidRPr="00975095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="00975095" w:rsidRPr="008C2E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095" w:rsidRPr="00975095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753ED95C" w14:textId="45487877" w:rsidR="00975095" w:rsidRPr="00444308" w:rsidRDefault="00975095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975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Zhang, D.; Yang, S.; Yuan, X.; Zhan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, P. Interpretable deep learning for automatic diagnosis of 12-lead electrocardiogram. </w:t>
        </w:r>
        <w:proofErr w:type="spellStart"/>
        <w:r w:rsidR="00444308" w:rsidRPr="00444308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iScience</w:t>
        </w:r>
        <w:proofErr w:type="spellEnd"/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 </w:t>
        </w:r>
        <w:r w:rsidR="00444308" w:rsidRPr="00444308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2021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, </w:t>
        </w:r>
        <w:r w:rsidR="00444308" w:rsidRPr="00444308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24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, 102373</w:t>
        </w:r>
      </w:hyperlink>
    </w:p>
    <w:p w14:paraId="761EE924" w14:textId="26815399" w:rsidR="00975095" w:rsidRDefault="00975095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444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F. F. Liu, C. Y. Liu*, L. N. Z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ao, X. Y. Zhang, X. L. Wu, X. Y. Xu, Y. L. Liu, C. Y. Ma, S. S. Wei, Z. Q. He, J. Q. Li and N. Y. Kwee. An open access database for evaluating the algorithms of ECG rhythm and morphology abnormal detection. </w:t>
        </w:r>
        <w:r w:rsidR="00444308" w:rsidRPr="00FF5F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Journal of Medical Imaging and Health Informatics, 2018, 8(7): 1368–1373.</w:t>
        </w:r>
      </w:hyperlink>
    </w:p>
    <w:p w14:paraId="5E7D4909" w14:textId="27C83D17" w:rsidR="0038490E" w:rsidRDefault="0038490E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hyperlink r:id="rId12" w:history="1">
        <w:r w:rsidRPr="009669C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Lundberg, S.M.; Lee,</w:t>
        </w:r>
        <w:r w:rsidRPr="009669C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9669C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S.I. A Unified Approach to Interpreting Model Predictions. In Proceedings of the 31st International Conference on Neural Information Processing Systems–NIPS’17, Red Hook, NY, USA, 4–9 December 2017; Curran Associates Inc.: New York, NY, USA, 2017; pp. 4768–4777</w:t>
        </w:r>
      </w:hyperlink>
      <w:r w:rsidRPr="009669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45A1A8" w14:textId="1C0A5290" w:rsidR="00851A87" w:rsidRPr="00A3244F" w:rsidRDefault="00D00A99" w:rsidP="009750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6E1126" w:rsidRPr="006E112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6E1126" w:rsidRPr="006E1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3" w:history="1">
        <w:r w:rsidR="006E1126" w:rsidRPr="006E112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 xml:space="preserve">James M. McCabe, MD; Ehrin J. Armstrong, MSc, MD; Ivy Ku, MD; Ameya Kulkarni, MD; Kurt S. </w:t>
        </w:r>
        <w:proofErr w:type="spellStart"/>
        <w:r w:rsidR="006E1126" w:rsidRPr="006E112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Hoffmayer</w:t>
        </w:r>
        <w:proofErr w:type="spellEnd"/>
        <w:r w:rsidR="006E1126" w:rsidRPr="006E112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, PharmD, MD; Prashant D. Bhave, MD; Stephen W. Waldo, MD; Priscilla Hsue, MD; John C. Stein, MD; Gregory M. Marcus, MSc, MD; Scott Kinlay, MBBS, PhD; Peter Ganz, MD</w:t>
        </w:r>
        <w:r w:rsidR="006E1126" w:rsidRPr="006E112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 xml:space="preserve">. </w:t>
        </w:r>
        <w:r w:rsidR="006E1126" w:rsidRPr="006E112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Physician Accuracy in Interpreting Potential ST-Segment Elevation Myocardial Infarction Electrocardiograms</w:t>
        </w:r>
      </w:hyperlink>
    </w:p>
    <w:sectPr w:rsidR="00851A87" w:rsidRPr="00A3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D3"/>
    <w:rsid w:val="000916EA"/>
    <w:rsid w:val="00151FEB"/>
    <w:rsid w:val="002027D3"/>
    <w:rsid w:val="0038490E"/>
    <w:rsid w:val="00417E9F"/>
    <w:rsid w:val="00444308"/>
    <w:rsid w:val="004571D0"/>
    <w:rsid w:val="00467D94"/>
    <w:rsid w:val="004D1A9A"/>
    <w:rsid w:val="00594CD5"/>
    <w:rsid w:val="0060059D"/>
    <w:rsid w:val="00631FAC"/>
    <w:rsid w:val="006E1126"/>
    <w:rsid w:val="00851A87"/>
    <w:rsid w:val="008C2ED8"/>
    <w:rsid w:val="009669C6"/>
    <w:rsid w:val="00975095"/>
    <w:rsid w:val="00A3244F"/>
    <w:rsid w:val="00AC0972"/>
    <w:rsid w:val="00B147EC"/>
    <w:rsid w:val="00C21D7B"/>
    <w:rsid w:val="00CA33FB"/>
    <w:rsid w:val="00D00A99"/>
    <w:rsid w:val="00D4673A"/>
    <w:rsid w:val="00D469DE"/>
    <w:rsid w:val="00D60296"/>
    <w:rsid w:val="00D720F2"/>
    <w:rsid w:val="00ED46DE"/>
    <w:rsid w:val="00F41ECE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06ED"/>
  <w15:chartTrackingRefBased/>
  <w15:docId w15:val="{74FC5363-342B-46E8-BB42-4D67E0C7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2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0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02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027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7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7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7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7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7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7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7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7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7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27D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430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430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443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9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hajournals.org/doi/full/10.1161/JAHA.113.0002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proceedings.neurips.cc/paper/2017/file/8a20a8621978632d76c43dfd28b67767-Paper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cell.com/iscience/fulltext/S2589-0042(21)00341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ED033-737F-4F5C-B74D-9825F2CE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783</Words>
  <Characters>4573</Characters>
  <Application>Microsoft Office Word</Application>
  <DocSecurity>0</DocSecurity>
  <Lines>97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23</cp:revision>
  <dcterms:created xsi:type="dcterms:W3CDTF">2025-03-23T09:51:00Z</dcterms:created>
  <dcterms:modified xsi:type="dcterms:W3CDTF">2025-03-23T15:01:00Z</dcterms:modified>
</cp:coreProperties>
</file>