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63F75" w14:textId="4DFA18DD" w:rsidR="00CA33FB" w:rsidRDefault="00B147EC" w:rsidP="00CA33F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исследовании решалась задача классификации аритмий по ЭКГ на основе глубинного обучения и первой моделью нейронной сетью рассматривается глубокая нейронная сеть на основе </w:t>
      </w:r>
      <w:r w:rsidRPr="00B147EC">
        <w:rPr>
          <w:rFonts w:ascii="Times New Roman" w:hAnsi="Times New Roman" w:cs="Times New Roman"/>
          <w:sz w:val="28"/>
          <w:szCs w:val="28"/>
        </w:rPr>
        <w:t>1D CNN для автоматической многозначной классификации сердечных аритмий при записи ЭКГ в 12 отведениях</w:t>
      </w:r>
      <w:r w:rsidR="00444308" w:rsidRPr="00444308">
        <w:rPr>
          <w:rFonts w:ascii="Times New Roman" w:hAnsi="Times New Roman" w:cs="Times New Roman"/>
          <w:sz w:val="28"/>
          <w:szCs w:val="28"/>
        </w:rPr>
        <w:t xml:space="preserve"> [1]</w:t>
      </w:r>
      <w:r w:rsidRPr="00B147EC">
        <w:rPr>
          <w:rFonts w:ascii="Times New Roman" w:hAnsi="Times New Roman" w:cs="Times New Roman"/>
          <w:sz w:val="28"/>
          <w:szCs w:val="28"/>
        </w:rPr>
        <w:t>, и модель достигла сопоставимых современных в наборе данных CPSC2018</w:t>
      </w:r>
      <w:r w:rsidR="00444308" w:rsidRPr="00444308">
        <w:rPr>
          <w:rFonts w:ascii="Times New Roman" w:hAnsi="Times New Roman" w:cs="Times New Roman"/>
          <w:sz w:val="28"/>
          <w:szCs w:val="28"/>
        </w:rPr>
        <w:t xml:space="preserve"> [2]</w:t>
      </w:r>
      <w:r w:rsidR="00975095">
        <w:rPr>
          <w:rFonts w:ascii="Times New Roman" w:hAnsi="Times New Roman" w:cs="Times New Roman"/>
          <w:sz w:val="28"/>
          <w:szCs w:val="28"/>
        </w:rPr>
        <w:t xml:space="preserve">. </w:t>
      </w:r>
      <w:r w:rsidR="00CA33FB">
        <w:rPr>
          <w:rFonts w:ascii="Times New Roman" w:hAnsi="Times New Roman" w:cs="Times New Roman"/>
          <w:sz w:val="28"/>
          <w:szCs w:val="28"/>
        </w:rPr>
        <w:t xml:space="preserve">Архитектура нейронной сети представлена на </w:t>
      </w:r>
      <w:r w:rsidR="00CA33FB" w:rsidRPr="00CA33FB">
        <w:rPr>
          <w:rFonts w:ascii="Times New Roman" w:hAnsi="Times New Roman" w:cs="Times New Roman"/>
          <w:b/>
          <w:bCs/>
          <w:sz w:val="28"/>
          <w:szCs w:val="28"/>
        </w:rPr>
        <w:t>рисунке 1</w:t>
      </w:r>
      <w:r w:rsidR="00CA33F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C26A26" w14:textId="03B88A1B" w:rsidR="00CA33FB" w:rsidRDefault="00CA33FB" w:rsidP="00FF5F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96E002" wp14:editId="1F39C8C6">
            <wp:extent cx="3034513" cy="4717657"/>
            <wp:effectExtent l="0" t="0" r="0" b="6985"/>
            <wp:docPr id="429715437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15437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513" cy="47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13AD" w14:textId="5180446C" w:rsidR="00CA33FB" w:rsidRDefault="00CA33FB" w:rsidP="00FF5F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33FB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Pr="00CA33FB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CA33FB">
        <w:rPr>
          <w:rFonts w:ascii="Times New Roman" w:hAnsi="Times New Roman" w:cs="Times New Roman"/>
          <w:b/>
          <w:bCs/>
          <w:sz w:val="28"/>
          <w:szCs w:val="28"/>
        </w:rPr>
        <w:t> Архитектура глубокой нейронной сети для диагностики аритмии сердца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ABA61C8" w14:textId="19BA7C63" w:rsidR="00FF5F92" w:rsidRPr="0038490E" w:rsidRDefault="00CA33FB" w:rsidP="00D467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CA33FB">
        <w:rPr>
          <w:rFonts w:ascii="Times New Roman" w:hAnsi="Times New Roman" w:cs="Times New Roman"/>
          <w:sz w:val="28"/>
          <w:szCs w:val="28"/>
        </w:rPr>
        <w:t>лубокая нейронная сеть принимает</w:t>
      </w:r>
      <w:r>
        <w:rPr>
          <w:rFonts w:ascii="Times New Roman" w:hAnsi="Times New Roman" w:cs="Times New Roman"/>
          <w:sz w:val="28"/>
          <w:szCs w:val="28"/>
        </w:rPr>
        <w:t xml:space="preserve"> на вход </w:t>
      </w:r>
      <w:r w:rsidRPr="00CA33FB">
        <w:rPr>
          <w:rFonts w:ascii="Times New Roman" w:hAnsi="Times New Roman" w:cs="Times New Roman"/>
          <w:sz w:val="28"/>
          <w:szCs w:val="28"/>
        </w:rPr>
        <w:t xml:space="preserve"> необработанные данные ЭКГ (12 отведений, продолжительность 30 с, частота дискретизации 500 Гц), использует одномерные свёрточные нейронные сети для извлечения глубинных признаков и выдаёт результаты прогнозирования для 9 диагностических классов</w:t>
      </w:r>
      <w:r w:rsidR="00D00A99" w:rsidRPr="00D00A99">
        <w:rPr>
          <w:rFonts w:ascii="Times New Roman" w:hAnsi="Times New Roman" w:cs="Times New Roman"/>
          <w:sz w:val="28"/>
          <w:szCs w:val="28"/>
        </w:rPr>
        <w:t xml:space="preserve"> [</w:t>
      </w:r>
      <w:r w:rsidR="00D00A99" w:rsidRPr="00D4673A">
        <w:rPr>
          <w:rFonts w:ascii="Times New Roman" w:hAnsi="Times New Roman" w:cs="Times New Roman"/>
          <w:sz w:val="28"/>
          <w:szCs w:val="28"/>
        </w:rPr>
        <w:t>1</w:t>
      </w:r>
      <w:r w:rsidR="00D00A99" w:rsidRPr="00D00A99">
        <w:rPr>
          <w:rFonts w:ascii="Times New Roman" w:hAnsi="Times New Roman" w:cs="Times New Roman"/>
          <w:sz w:val="28"/>
          <w:szCs w:val="28"/>
        </w:rPr>
        <w:t>]</w:t>
      </w:r>
      <w:r w:rsidRPr="00CA33FB">
        <w:rPr>
          <w:rFonts w:ascii="Times New Roman" w:hAnsi="Times New Roman" w:cs="Times New Roman"/>
          <w:sz w:val="28"/>
          <w:szCs w:val="28"/>
        </w:rPr>
        <w:t xml:space="preserve">: </w:t>
      </w:r>
      <w:r w:rsidRPr="00CA33FB">
        <w:rPr>
          <w:rFonts w:ascii="Times New Roman" w:hAnsi="Times New Roman" w:cs="Times New Roman"/>
          <w:sz w:val="28"/>
          <w:szCs w:val="28"/>
        </w:rPr>
        <w:t>SNR</w:t>
      </w:r>
      <w:r w:rsidRPr="00CA33FB">
        <w:rPr>
          <w:rFonts w:ascii="Times New Roman" w:hAnsi="Times New Roman" w:cs="Times New Roman"/>
          <w:sz w:val="28"/>
          <w:szCs w:val="28"/>
        </w:rPr>
        <w:t xml:space="preserve">, </w:t>
      </w:r>
      <w:r w:rsidRPr="00CA33FB">
        <w:rPr>
          <w:rFonts w:ascii="Times New Roman" w:hAnsi="Times New Roman" w:cs="Times New Roman"/>
          <w:sz w:val="28"/>
          <w:szCs w:val="28"/>
        </w:rPr>
        <w:t>AF</w:t>
      </w:r>
      <w:r w:rsidRPr="00CA33FB">
        <w:rPr>
          <w:rFonts w:ascii="Times New Roman" w:hAnsi="Times New Roman" w:cs="Times New Roman"/>
          <w:sz w:val="28"/>
          <w:szCs w:val="28"/>
        </w:rPr>
        <w:t xml:space="preserve">, </w:t>
      </w:r>
      <w:r w:rsidRPr="00CA33FB">
        <w:rPr>
          <w:rFonts w:ascii="Times New Roman" w:hAnsi="Times New Roman" w:cs="Times New Roman"/>
          <w:sz w:val="28"/>
          <w:szCs w:val="28"/>
        </w:rPr>
        <w:t>IAVB</w:t>
      </w:r>
      <w:r w:rsidRPr="00CA33FB">
        <w:rPr>
          <w:rFonts w:ascii="Times New Roman" w:hAnsi="Times New Roman" w:cs="Times New Roman"/>
          <w:sz w:val="28"/>
          <w:szCs w:val="28"/>
        </w:rPr>
        <w:t xml:space="preserve">, </w:t>
      </w:r>
      <w:r w:rsidRPr="00CA33FB">
        <w:rPr>
          <w:rFonts w:ascii="Times New Roman" w:hAnsi="Times New Roman" w:cs="Times New Roman"/>
          <w:sz w:val="28"/>
          <w:szCs w:val="28"/>
        </w:rPr>
        <w:t>LBBB</w:t>
      </w:r>
      <w:r w:rsidRPr="00CA33FB">
        <w:rPr>
          <w:rFonts w:ascii="Times New Roman" w:hAnsi="Times New Roman" w:cs="Times New Roman"/>
          <w:sz w:val="28"/>
          <w:szCs w:val="28"/>
        </w:rPr>
        <w:t xml:space="preserve">, </w:t>
      </w:r>
      <w:r w:rsidRPr="00CA33FB">
        <w:rPr>
          <w:rFonts w:ascii="Times New Roman" w:hAnsi="Times New Roman" w:cs="Times New Roman"/>
          <w:sz w:val="28"/>
          <w:szCs w:val="28"/>
        </w:rPr>
        <w:t>RBBB</w:t>
      </w:r>
      <w:r w:rsidRPr="00CA33FB">
        <w:rPr>
          <w:rFonts w:ascii="Times New Roman" w:hAnsi="Times New Roman" w:cs="Times New Roman"/>
          <w:sz w:val="28"/>
          <w:szCs w:val="28"/>
        </w:rPr>
        <w:t xml:space="preserve">, </w:t>
      </w:r>
      <w:r w:rsidRPr="00CA33FB">
        <w:rPr>
          <w:rFonts w:ascii="Times New Roman" w:hAnsi="Times New Roman" w:cs="Times New Roman"/>
          <w:sz w:val="28"/>
          <w:szCs w:val="28"/>
        </w:rPr>
        <w:t>PAC</w:t>
      </w:r>
      <w:r w:rsidRPr="00CA33FB">
        <w:rPr>
          <w:rFonts w:ascii="Times New Roman" w:hAnsi="Times New Roman" w:cs="Times New Roman"/>
          <w:sz w:val="28"/>
          <w:szCs w:val="28"/>
        </w:rPr>
        <w:t xml:space="preserve">, </w:t>
      </w:r>
      <w:r w:rsidRPr="00CA33FB">
        <w:rPr>
          <w:rFonts w:ascii="Times New Roman" w:hAnsi="Times New Roman" w:cs="Times New Roman"/>
          <w:sz w:val="28"/>
          <w:szCs w:val="28"/>
        </w:rPr>
        <w:t>PVC</w:t>
      </w:r>
      <w:r w:rsidRPr="00CA33FB">
        <w:rPr>
          <w:rFonts w:ascii="Times New Roman" w:hAnsi="Times New Roman" w:cs="Times New Roman"/>
          <w:sz w:val="28"/>
          <w:szCs w:val="28"/>
        </w:rPr>
        <w:t xml:space="preserve">, </w:t>
      </w:r>
      <w:r w:rsidRPr="00CA33FB">
        <w:rPr>
          <w:rFonts w:ascii="Times New Roman" w:hAnsi="Times New Roman" w:cs="Times New Roman"/>
          <w:sz w:val="28"/>
          <w:szCs w:val="28"/>
        </w:rPr>
        <w:t>STD</w:t>
      </w:r>
      <w:r w:rsidRPr="00CA33FB">
        <w:rPr>
          <w:rFonts w:ascii="Times New Roman" w:hAnsi="Times New Roman" w:cs="Times New Roman"/>
          <w:sz w:val="28"/>
          <w:szCs w:val="28"/>
        </w:rPr>
        <w:t xml:space="preserve">, </w:t>
      </w:r>
      <w:r w:rsidRPr="00CA33FB">
        <w:rPr>
          <w:rFonts w:ascii="Times New Roman" w:hAnsi="Times New Roman" w:cs="Times New Roman"/>
          <w:sz w:val="28"/>
          <w:szCs w:val="28"/>
        </w:rPr>
        <w:t>STE</w:t>
      </w:r>
      <w:r w:rsidRPr="00CA33FB">
        <w:rPr>
          <w:rFonts w:ascii="Times New Roman" w:hAnsi="Times New Roman" w:cs="Times New Roman"/>
          <w:sz w:val="28"/>
          <w:szCs w:val="28"/>
        </w:rPr>
        <w:t xml:space="preserve">, </w:t>
      </w:r>
      <w:r w:rsidRPr="00CA33FB">
        <w:rPr>
          <w:rFonts w:ascii="Times New Roman" w:hAnsi="Times New Roman" w:cs="Times New Roman"/>
          <w:sz w:val="28"/>
          <w:szCs w:val="28"/>
        </w:rPr>
        <w:t>AVG</w:t>
      </w:r>
      <w:r w:rsidRPr="00CA33FB">
        <w:rPr>
          <w:rFonts w:ascii="Times New Roman" w:hAnsi="Times New Roman" w:cs="Times New Roman"/>
          <w:sz w:val="28"/>
          <w:szCs w:val="28"/>
        </w:rPr>
        <w:t>.</w:t>
      </w:r>
      <w:r w:rsidR="00D4673A">
        <w:rPr>
          <w:rFonts w:ascii="Times New Roman" w:hAnsi="Times New Roman" w:cs="Times New Roman"/>
          <w:sz w:val="28"/>
          <w:szCs w:val="28"/>
        </w:rPr>
        <w:t xml:space="preserve"> </w:t>
      </w:r>
      <w:r w:rsidR="009669C6" w:rsidRPr="009669C6">
        <w:rPr>
          <w:rFonts w:ascii="Times New Roman" w:hAnsi="Times New Roman" w:cs="Times New Roman"/>
          <w:sz w:val="28"/>
          <w:szCs w:val="28"/>
        </w:rPr>
        <w:t>Чтобы лучше понять поведение</w:t>
      </w:r>
      <w:r w:rsidR="009669C6">
        <w:rPr>
          <w:rFonts w:ascii="Times New Roman" w:hAnsi="Times New Roman" w:cs="Times New Roman"/>
          <w:sz w:val="28"/>
          <w:szCs w:val="28"/>
        </w:rPr>
        <w:t xml:space="preserve"> данной глубокой нейронной сети</w:t>
      </w:r>
      <w:r w:rsidR="009669C6" w:rsidRPr="009669C6">
        <w:rPr>
          <w:rFonts w:ascii="Times New Roman" w:hAnsi="Times New Roman" w:cs="Times New Roman"/>
          <w:sz w:val="28"/>
          <w:szCs w:val="28"/>
        </w:rPr>
        <w:t xml:space="preserve">, </w:t>
      </w:r>
      <w:r w:rsidR="009669C6">
        <w:rPr>
          <w:rFonts w:ascii="Times New Roman" w:hAnsi="Times New Roman" w:cs="Times New Roman"/>
          <w:sz w:val="28"/>
          <w:szCs w:val="28"/>
        </w:rPr>
        <w:t xml:space="preserve">в модели </w:t>
      </w:r>
      <w:r w:rsidR="009669C6" w:rsidRPr="009669C6">
        <w:rPr>
          <w:rFonts w:ascii="Times New Roman" w:hAnsi="Times New Roman" w:cs="Times New Roman"/>
          <w:sz w:val="28"/>
          <w:szCs w:val="28"/>
        </w:rPr>
        <w:t>использ</w:t>
      </w:r>
      <w:r w:rsidR="009669C6">
        <w:rPr>
          <w:rFonts w:ascii="Times New Roman" w:hAnsi="Times New Roman" w:cs="Times New Roman"/>
          <w:sz w:val="28"/>
          <w:szCs w:val="28"/>
        </w:rPr>
        <w:t>уется</w:t>
      </w:r>
      <w:r w:rsidR="009669C6" w:rsidRPr="009669C6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9669C6" w:rsidRPr="00FF5F92">
        <w:rPr>
          <w:rFonts w:ascii="Times New Roman" w:hAnsi="Times New Roman" w:cs="Times New Roman"/>
          <w:sz w:val="28"/>
          <w:szCs w:val="28"/>
        </w:rPr>
        <w:t>SHapley Additive exPlanations</w:t>
      </w:r>
      <w:r w:rsidR="009669C6">
        <w:rPr>
          <w:rFonts w:ascii="Times New Roman" w:hAnsi="Times New Roman" w:cs="Times New Roman"/>
          <w:sz w:val="28"/>
          <w:szCs w:val="28"/>
        </w:rPr>
        <w:t xml:space="preserve"> </w:t>
      </w:r>
      <w:r w:rsidR="009669C6">
        <w:rPr>
          <w:rFonts w:ascii="Times New Roman" w:hAnsi="Times New Roman" w:cs="Times New Roman"/>
          <w:sz w:val="28"/>
          <w:szCs w:val="28"/>
        </w:rPr>
        <w:lastRenderedPageBreak/>
        <w:t>(</w:t>
      </w:r>
      <w:r w:rsidR="009669C6" w:rsidRPr="009669C6">
        <w:rPr>
          <w:rFonts w:ascii="Times New Roman" w:hAnsi="Times New Roman" w:cs="Times New Roman"/>
          <w:sz w:val="28"/>
          <w:szCs w:val="28"/>
        </w:rPr>
        <w:t>SHAP</w:t>
      </w:r>
      <w:r w:rsidR="009669C6">
        <w:rPr>
          <w:rFonts w:ascii="Times New Roman" w:hAnsi="Times New Roman" w:cs="Times New Roman"/>
          <w:sz w:val="28"/>
          <w:szCs w:val="28"/>
        </w:rPr>
        <w:t xml:space="preserve">) </w:t>
      </w:r>
      <w:r w:rsidR="009669C6" w:rsidRPr="009669C6">
        <w:rPr>
          <w:rFonts w:ascii="Times New Roman" w:hAnsi="Times New Roman" w:cs="Times New Roman"/>
          <w:sz w:val="28"/>
          <w:szCs w:val="28"/>
        </w:rPr>
        <w:t>[</w:t>
      </w:r>
      <w:r w:rsidR="0038490E" w:rsidRPr="0038490E">
        <w:rPr>
          <w:rFonts w:ascii="Times New Roman" w:hAnsi="Times New Roman" w:cs="Times New Roman"/>
          <w:sz w:val="28"/>
          <w:szCs w:val="28"/>
        </w:rPr>
        <w:t>3</w:t>
      </w:r>
      <w:r w:rsidR="009669C6" w:rsidRPr="009669C6">
        <w:rPr>
          <w:rFonts w:ascii="Times New Roman" w:hAnsi="Times New Roman" w:cs="Times New Roman"/>
          <w:sz w:val="28"/>
          <w:szCs w:val="28"/>
        </w:rPr>
        <w:t>]</w:t>
      </w:r>
      <w:r w:rsidR="009669C6" w:rsidRPr="009669C6">
        <w:rPr>
          <w:rFonts w:ascii="Times New Roman" w:hAnsi="Times New Roman" w:cs="Times New Roman"/>
          <w:sz w:val="28"/>
          <w:szCs w:val="28"/>
        </w:rPr>
        <w:t xml:space="preserve"> для повышения клинической интерпретируемости как на уровне отдельных пациентов, так и на уровне населения в целом</w:t>
      </w:r>
      <w:r w:rsidR="0038490E" w:rsidRPr="0038490E">
        <w:rPr>
          <w:rFonts w:ascii="Times New Roman" w:hAnsi="Times New Roman" w:cs="Times New Roman"/>
          <w:sz w:val="28"/>
          <w:szCs w:val="28"/>
        </w:rPr>
        <w:t>.</w:t>
      </w:r>
    </w:p>
    <w:p w14:paraId="5A67D9BF" w14:textId="4FA3B3EF" w:rsidR="0038490E" w:rsidRDefault="000916EA" w:rsidP="00FF5F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16EA">
        <w:rPr>
          <w:rFonts w:ascii="Times New Roman" w:hAnsi="Times New Roman" w:cs="Times New Roman"/>
          <w:b/>
          <w:bCs/>
          <w:sz w:val="28"/>
          <w:szCs w:val="28"/>
        </w:rPr>
        <w:t xml:space="preserve">Вычислительные эксперименты </w:t>
      </w:r>
    </w:p>
    <w:p w14:paraId="283110BA" w14:textId="270E7D8B" w:rsidR="000916EA" w:rsidRDefault="000916EA" w:rsidP="00FF5F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31F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F3049A" wp14:editId="22DBA3A9">
            <wp:extent cx="4352925" cy="3724275"/>
            <wp:effectExtent l="0" t="0" r="9525" b="9525"/>
            <wp:docPr id="1064920744" name="Рисунок 2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20744" name="Рисунок 2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4CD0" w14:textId="77777777" w:rsidR="00631FAC" w:rsidRPr="00631FAC" w:rsidRDefault="00631FAC" w:rsidP="00631FAC">
      <w:pPr>
        <w:jc w:val="both"/>
        <w:rPr>
          <w:rFonts w:ascii="Times New Roman" w:hAnsi="Times New Roman" w:cs="Times New Roman"/>
          <w:sz w:val="28"/>
          <w:szCs w:val="28"/>
        </w:rPr>
      </w:pPr>
      <w:r w:rsidRPr="00631FAC">
        <w:rPr>
          <w:rFonts w:ascii="Times New Roman" w:hAnsi="Times New Roman" w:cs="Times New Roman"/>
          <w:b/>
          <w:bCs/>
          <w:sz w:val="28"/>
          <w:szCs w:val="28"/>
        </w:rPr>
        <w:t>Таблица 1</w:t>
      </w:r>
    </w:p>
    <w:p w14:paraId="44F08908" w14:textId="62DA1012" w:rsidR="00631FAC" w:rsidRPr="00631FAC" w:rsidRDefault="00631FAC" w:rsidP="00FF5F92">
      <w:pPr>
        <w:jc w:val="both"/>
        <w:rPr>
          <w:rFonts w:ascii="Times New Roman" w:hAnsi="Times New Roman" w:cs="Times New Roman"/>
          <w:sz w:val="28"/>
          <w:szCs w:val="28"/>
        </w:rPr>
      </w:pPr>
      <w:r w:rsidRPr="00631FAC">
        <w:rPr>
          <w:rFonts w:ascii="Times New Roman" w:hAnsi="Times New Roman" w:cs="Times New Roman"/>
          <w:sz w:val="28"/>
          <w:szCs w:val="28"/>
        </w:rPr>
        <w:t>Производительность модели с двенадцатью отведениями, усредненная по результатам 10-кратных тестов</w:t>
      </w:r>
      <w:r w:rsidRPr="00631FA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или 40 – эпох же 40 в модели</w:t>
      </w:r>
      <w:r w:rsidRPr="00631FAC">
        <w:rPr>
          <w:rFonts w:ascii="Times New Roman" w:hAnsi="Times New Roman" w:cs="Times New Roman"/>
          <w:sz w:val="28"/>
          <w:szCs w:val="28"/>
        </w:rPr>
        <w:t>)</w:t>
      </w:r>
    </w:p>
    <w:p w14:paraId="5480587D" w14:textId="60A8D546" w:rsidR="00975095" w:rsidRPr="00FF5F92" w:rsidRDefault="00975095" w:rsidP="00FF5F9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75095">
        <w:rPr>
          <w:rFonts w:ascii="Times New Roman" w:hAnsi="Times New Roman" w:cs="Times New Roman"/>
          <w:b/>
          <w:bCs/>
          <w:sz w:val="28"/>
          <w:szCs w:val="28"/>
        </w:rPr>
        <w:t>Список</w:t>
      </w:r>
      <w:r w:rsidRPr="00FF5F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75095">
        <w:rPr>
          <w:rFonts w:ascii="Times New Roman" w:hAnsi="Times New Roman" w:cs="Times New Roman"/>
          <w:b/>
          <w:bCs/>
          <w:sz w:val="28"/>
          <w:szCs w:val="28"/>
        </w:rPr>
        <w:t>литературы</w:t>
      </w:r>
    </w:p>
    <w:p w14:paraId="753ED95C" w14:textId="45487877" w:rsidR="00975095" w:rsidRPr="00444308" w:rsidRDefault="00975095" w:rsidP="00FF5F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Pr="009750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6" w:history="1">
        <w:r w:rsidR="00444308" w:rsidRPr="0044430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Zhang, D.; Yang, S.; Yuan, X.; Zhan</w:t>
        </w:r>
        <w:r w:rsidR="00444308" w:rsidRPr="0044430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g</w:t>
        </w:r>
        <w:r w:rsidR="00444308" w:rsidRPr="0044430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, P. Interpretable deep learning for automatic diagnosis of 12-lead electrocardiogram. </w:t>
        </w:r>
        <w:r w:rsidR="00444308" w:rsidRPr="00444308">
          <w:rPr>
            <w:rStyle w:val="ac"/>
            <w:rFonts w:ascii="Times New Roman" w:hAnsi="Times New Roman" w:cs="Times New Roman"/>
            <w:i/>
            <w:iCs/>
            <w:sz w:val="28"/>
            <w:szCs w:val="28"/>
            <w:lang w:val="en-US"/>
          </w:rPr>
          <w:t>iScience</w:t>
        </w:r>
        <w:r w:rsidR="00444308" w:rsidRPr="0044430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 </w:t>
        </w:r>
        <w:r w:rsidR="00444308" w:rsidRPr="00444308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2021</w:t>
        </w:r>
        <w:r w:rsidR="00444308" w:rsidRPr="0044430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, </w:t>
        </w:r>
        <w:r w:rsidR="00444308" w:rsidRPr="00444308">
          <w:rPr>
            <w:rStyle w:val="ac"/>
            <w:rFonts w:ascii="Times New Roman" w:hAnsi="Times New Roman" w:cs="Times New Roman"/>
            <w:i/>
            <w:iCs/>
            <w:sz w:val="28"/>
            <w:szCs w:val="28"/>
            <w:lang w:val="en-US"/>
          </w:rPr>
          <w:t>24</w:t>
        </w:r>
        <w:r w:rsidR="00444308" w:rsidRPr="0044430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, 102373</w:t>
        </w:r>
      </w:hyperlink>
    </w:p>
    <w:p w14:paraId="761EE924" w14:textId="26815399" w:rsidR="00975095" w:rsidRDefault="00975095" w:rsidP="00FF5F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="004443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7" w:history="1">
        <w:r w:rsidR="00444308" w:rsidRPr="0044430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F. F. Liu, C. Y. Liu*, L. N. Z</w:t>
        </w:r>
        <w:r w:rsidR="00444308" w:rsidRPr="0044430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</w:t>
        </w:r>
        <w:r w:rsidR="00444308" w:rsidRPr="0044430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ao, X. Y. Zhang, X. L. Wu, X. Y. Xu, Y. L. Liu, C. Y. Ma, S. S. Wei, Z. Q. He, J. Q. Li and N. Y. Kwee. An open access database for evaluating the algorithms of ECG rhythm and morphology abnormal detection. </w:t>
        </w:r>
        <w:r w:rsidR="00444308" w:rsidRPr="00FF5F92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Journal of Medical Imaging and Health Informatics, 2018, 8(7): 1368–1373.</w:t>
        </w:r>
      </w:hyperlink>
    </w:p>
    <w:p w14:paraId="5E7D4909" w14:textId="27C83D17" w:rsidR="0038490E" w:rsidRDefault="0038490E" w:rsidP="00FF5F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[3] </w:t>
      </w:r>
      <w:hyperlink r:id="rId8" w:history="1">
        <w:r w:rsidRPr="009669C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Lundberg, S.M.; Lee,</w:t>
        </w:r>
        <w:r w:rsidRPr="009669C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Pr="009669C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S.I. A Unified Approach to Interpreting Model Predictions. In Proceedings of the 31st International Conference on Neural Information Processing Systems–NIPS’17, Red Hook, NY, USA, 4–9 December 2017; Curran Associates Inc.: New York, NY, USA, 2017; pp. 4768–4777</w:t>
        </w:r>
      </w:hyperlink>
      <w:r w:rsidRPr="009669C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203E68" w14:textId="47C4A98A" w:rsidR="00D00A99" w:rsidRDefault="00D00A99" w:rsidP="00FF5F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[]</w:t>
      </w:r>
    </w:p>
    <w:p w14:paraId="0462F9F7" w14:textId="5231ACC9" w:rsidR="00444308" w:rsidRPr="009669C6" w:rsidRDefault="00FF5F92" w:rsidP="009750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[] </w:t>
      </w:r>
      <w:hyperlink r:id="rId9" w:anchor="B66-diagnostics-13-00111" w:history="1">
        <w:r w:rsidRPr="00FF5F92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 xml:space="preserve">Ayano, Y. M., Schwenker, F., Dufera, B. D., &amp; Debelee, T. G. (2023). Interpretable </w:t>
        </w:r>
        <w:r w:rsidRPr="00FF5F92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M</w:t>
        </w:r>
        <w:r w:rsidRPr="00FF5F92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achine Learning Techn</w:t>
        </w:r>
        <w:r w:rsidRPr="00FF5F92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i</w:t>
        </w:r>
        <w:r w:rsidRPr="00FF5F92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ques in ECG-Based Heart Disease Classification: A Systematic Review. </w:t>
        </w:r>
        <w:r w:rsidRPr="00FF5F92">
          <w:rPr>
            <w:rStyle w:val="ac"/>
            <w:rFonts w:ascii="Times New Roman" w:hAnsi="Times New Roman" w:cs="Times New Roman"/>
            <w:i/>
            <w:iCs/>
            <w:sz w:val="28"/>
            <w:szCs w:val="28"/>
          </w:rPr>
          <w:t>Diagnostics</w:t>
        </w:r>
        <w:r w:rsidRPr="00FF5F92">
          <w:rPr>
            <w:rStyle w:val="ac"/>
            <w:rFonts w:ascii="Times New Roman" w:hAnsi="Times New Roman" w:cs="Times New Roman"/>
            <w:sz w:val="28"/>
            <w:szCs w:val="28"/>
          </w:rPr>
          <w:t>, </w:t>
        </w:r>
        <w:r w:rsidRPr="00FF5F92">
          <w:rPr>
            <w:rStyle w:val="ac"/>
            <w:rFonts w:ascii="Times New Roman" w:hAnsi="Times New Roman" w:cs="Times New Roman"/>
            <w:i/>
            <w:iCs/>
            <w:sz w:val="28"/>
            <w:szCs w:val="28"/>
          </w:rPr>
          <w:t>13</w:t>
        </w:r>
        <w:r w:rsidRPr="00FF5F92">
          <w:rPr>
            <w:rStyle w:val="ac"/>
            <w:rFonts w:ascii="Times New Roman" w:hAnsi="Times New Roman" w:cs="Times New Roman"/>
            <w:sz w:val="28"/>
            <w:szCs w:val="28"/>
          </w:rPr>
          <w:t>(1), 111.</w:t>
        </w:r>
      </w:hyperlink>
    </w:p>
    <w:sectPr w:rsidR="00444308" w:rsidRPr="00966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D3"/>
    <w:rsid w:val="000916EA"/>
    <w:rsid w:val="002027D3"/>
    <w:rsid w:val="0038490E"/>
    <w:rsid w:val="00417E9F"/>
    <w:rsid w:val="00444308"/>
    <w:rsid w:val="00631FAC"/>
    <w:rsid w:val="009669C6"/>
    <w:rsid w:val="00975095"/>
    <w:rsid w:val="00B147EC"/>
    <w:rsid w:val="00CA33FB"/>
    <w:rsid w:val="00D00A99"/>
    <w:rsid w:val="00D4673A"/>
    <w:rsid w:val="00D60296"/>
    <w:rsid w:val="00D720F2"/>
    <w:rsid w:val="00FF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F06ED"/>
  <w15:chartTrackingRefBased/>
  <w15:docId w15:val="{74FC5363-342B-46E8-BB42-4D67E0C7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2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2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2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02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2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2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2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2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2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2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02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02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027D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027D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027D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027D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027D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027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2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2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2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02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02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027D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027D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027D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02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027D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027D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4430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4430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4430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5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44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4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ceedings.neurips.cc/paper/2017/file/8a20a8621978632d76c43dfd28b67767-Paper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2018.icbeb.org/file/2018X_Feifei_An%20Open%20Access%20Database%20for%20Evaluating%20ECG%20abnormal%20classificaition%20algorithm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ell.com/iscience/fulltext/S2589-0042(21)00341-2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s://www.mdpi.com/2075-4418/13/1/11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388</Words>
  <Characters>2270</Characters>
  <Application>Microsoft Office Word</Application>
  <DocSecurity>0</DocSecurity>
  <Lines>48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Артём Дмитриевич</dc:creator>
  <cp:keywords/>
  <dc:description/>
  <cp:lastModifiedBy>Власов Артём Дмитриевич</cp:lastModifiedBy>
  <cp:revision>7</cp:revision>
  <dcterms:created xsi:type="dcterms:W3CDTF">2025-03-23T09:51:00Z</dcterms:created>
  <dcterms:modified xsi:type="dcterms:W3CDTF">2025-03-23T11:12:00Z</dcterms:modified>
</cp:coreProperties>
</file>