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B247" w14:textId="249E2463" w:rsidR="00417E9F" w:rsidRPr="003A654C" w:rsidRDefault="003A654C" w:rsidP="003A65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</w:p>
    <w:p w14:paraId="69521147" w14:textId="30919D2F" w:rsidR="003A654C" w:rsidRPr="00194041" w:rsidRDefault="00194041" w:rsidP="00194041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 Additive exPlanations</w:t>
      </w:r>
    </w:p>
    <w:p w14:paraId="46FA71B2" w14:textId="6DB2078C" w:rsidR="00AE2A1F" w:rsidRDefault="00AA6B8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</w:t>
      </w:r>
      <w:r w:rsidR="00AE2A1F">
        <w:rPr>
          <w:rFonts w:ascii="Times New Roman" w:hAnsi="Times New Roman" w:cs="Times New Roman"/>
          <w:sz w:val="28"/>
          <w:szCs w:val="28"/>
        </w:rPr>
        <w:t xml:space="preserve">ля сложных моделей глубинного обучения объяснение их работы представляет из себя сложную задачу из-за высокой сложности. Поэтому </w:t>
      </w:r>
      <w:r w:rsidR="002D5600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E2A1F">
        <w:rPr>
          <w:rFonts w:ascii="Times New Roman" w:hAnsi="Times New Roman" w:cs="Times New Roman"/>
          <w:sz w:val="28"/>
          <w:szCs w:val="28"/>
        </w:rPr>
        <w:t>объясняющая модель – интерпретируемая аппроксимация исходной модели.</w:t>
      </w:r>
    </w:p>
    <w:p w14:paraId="1D99CED6" w14:textId="27214709" w:rsidR="007B46B9" w:rsidRPr="007B46B9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>:=(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7B46B9" w:rsidRPr="007B46B9">
        <w:rPr>
          <w:rFonts w:ascii="Times New Roman" w:hAnsi="Times New Roman" w:cs="Times New Roman"/>
          <w:sz w:val="28"/>
          <w:szCs w:val="28"/>
        </w:rPr>
        <w:t>[1]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g:</w:t>
      </w:r>
    </w:p>
    <w:p w14:paraId="5A0B90CC" w14:textId="3EDF9924" w:rsidR="00B049F9" w:rsidRPr="00BD3376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710017B5" w:rsidR="000F17CC" w:rsidRDefault="00DC7CAD" w:rsidP="002076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049F9">
        <w:rPr>
          <w:rFonts w:ascii="Times New Roman" w:hAnsi="Times New Roman" w:cs="Times New Roman"/>
          <w:sz w:val="28"/>
          <w:szCs w:val="28"/>
        </w:rPr>
        <w:t xml:space="preserve">де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="00B049F9" w:rsidRPr="00B049F9">
        <w:rPr>
          <w:rFonts w:ascii="Times New Roman" w:hAnsi="Times New Roman" w:cs="Times New Roman"/>
          <w:sz w:val="28"/>
          <w:szCs w:val="28"/>
        </w:rPr>
        <w:t>бинарное</w:t>
      </w:r>
      <w:r w:rsidR="00B049F9"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 w:rsidR="00B049F9"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Times New Roman" w:hAnsi="Times New Roman" w:cs="Times New Roman"/>
          <w:sz w:val="28"/>
          <w:szCs w:val="28"/>
        </w:rPr>
        <w:t>–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 w:rsidR="00B049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224144FD" w:rsidR="007B46B9" w:rsidRPr="00A07215" w:rsidRDefault="007B46B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</w:t>
      </w:r>
      <w:r w:rsidR="001A3288">
        <w:rPr>
          <w:rFonts w:ascii="Times New Roman" w:eastAsiaTheme="minorEastAsia" w:hAnsi="Times New Roman" w:cs="Times New Roman"/>
          <w:sz w:val="28"/>
          <w:szCs w:val="28"/>
        </w:rPr>
        <w:t>признаков,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  <w:r w:rsidR="00A07215" w:rsidRPr="00A07215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бер</w:t>
      </w:r>
      <w:r w:rsidR="00A07215">
        <w:rPr>
          <w:rFonts w:ascii="Times New Roman" w:hAnsi="Times New Roman" w:cs="Times New Roman"/>
          <w:sz w:val="28"/>
          <w:szCs w:val="28"/>
        </w:rPr>
        <w:t>ущий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своё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A07215"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400EC700" w14:textId="1BEEFDDE" w:rsidR="003C5B88" w:rsidRPr="007D7D52" w:rsidRDefault="007D7D52" w:rsidP="002076A5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 w:rsidR="00E2750F"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r w:rsidRPr="007D7D52">
        <w:rPr>
          <w:rFonts w:ascii="Times New Roman" w:hAnsi="Times New Roman" w:cs="Times New Roman"/>
          <w:sz w:val="28"/>
          <w:szCs w:val="28"/>
        </w:rPr>
        <w:t>={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,…,</w:t>
      </w:r>
      <w:r w:rsidR="001A3288" w:rsidRPr="007D7D52">
        <w:rPr>
          <w:rFonts w:ascii="Cambria Math" w:hAnsi="Cambria Math" w:cs="Cambria Math"/>
          <w:sz w:val="28"/>
          <w:szCs w:val="28"/>
        </w:rPr>
        <w:t>𝑋</w:t>
      </w:r>
      <w:r w:rsidR="001A3288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1A3288" w:rsidRPr="007D7D52">
        <w:rPr>
          <w:rFonts w:ascii="Times New Roman" w:hAnsi="Times New Roman" w:cs="Times New Roman"/>
          <w:sz w:val="28"/>
          <w:szCs w:val="28"/>
        </w:rPr>
        <w:t>…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 w:rsidR="00023F4A">
        <w:rPr>
          <w:rFonts w:ascii="Times New Roman" w:hAnsi="Times New Roman" w:cs="Times New Roman"/>
          <w:sz w:val="28"/>
          <w:szCs w:val="28"/>
        </w:rPr>
        <w:t>вычисляется по следующему алгоритму</w:t>
      </w:r>
      <w:r w:rsidR="00184A2F">
        <w:rPr>
          <w:rFonts w:ascii="Times New Roman" w:hAnsi="Times New Roman" w:cs="Times New Roman"/>
          <w:sz w:val="28"/>
          <w:szCs w:val="28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1D6AA3F7" w14:textId="1981BA05" w:rsidR="00023F4A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D7D52" w:rsidRPr="00B72AF3">
        <w:rPr>
          <w:rFonts w:ascii="Times New Roman" w:hAnsi="Times New Roman" w:cs="Times New Roman"/>
          <w:sz w:val="28"/>
          <w:szCs w:val="28"/>
        </w:rPr>
        <w:t xml:space="preserve">одель обучается 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с использованием признака </w:t>
      </w:r>
      <w:r w:rsidR="001A3288" w:rsidRPr="00B72AF3">
        <w:rPr>
          <w:rFonts w:ascii="Cambria Math" w:hAnsi="Cambria Math" w:cs="Cambria Math"/>
          <w:sz w:val="28"/>
          <w:szCs w:val="28"/>
        </w:rPr>
        <w:t>𝑋</w:t>
      </w:r>
      <w:r w:rsidR="001A3288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="001A3288"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4867" w14:textId="4D211D55" w:rsidR="007D7D52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05993763" w:rsidR="000F17CC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B3E319E" w14:textId="3111331D" w:rsidR="00184A2F" w:rsidRDefault="00184A2F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="00D85732" w:rsidRPr="004947BB">
        <w:rPr>
          <w:rFonts w:ascii="Cambria Math" w:hAnsi="Cambria Math" w:cs="Cambria Math"/>
          <w:sz w:val="28"/>
          <w:szCs w:val="28"/>
        </w:rPr>
        <w:t>𝑋</w:t>
      </w:r>
      <w:r w:rsidR="00D8573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D8573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D85732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уравнению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01CEC0C9" w14:textId="374F4362" w:rsidR="00023F4A" w:rsidRPr="00E3642B" w:rsidRDefault="00000000" w:rsidP="002076A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94F5EE9" w14:textId="552C6814" w:rsidR="00E3642B" w:rsidRPr="00D85732" w:rsidRDefault="006A5EC5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перебираются</w:t>
      </w:r>
      <w:r w:rsid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642B"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BF3DB" w14:textId="637D5B3A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задаче классификации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сердечно-сосудистых заболеваний по ЭКГ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</w:t>
      </w:r>
      <w:r w:rsidR="00DF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могает понять, какие элементы сигнала ЭКГ </w:t>
      </w:r>
      <w:r w:rsidR="00E002CC">
        <w:rPr>
          <w:rFonts w:ascii="Times New Roman" w:eastAsiaTheme="minorEastAsia" w:hAnsi="Times New Roman" w:cs="Times New Roman"/>
          <w:iCs/>
          <w:sz w:val="28"/>
          <w:szCs w:val="28"/>
        </w:rPr>
        <w:t>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480544BD" w14:textId="2780763D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работы модели, использующие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остаётся высокой. </w:t>
      </w:r>
      <w:r w:rsidR="00245B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стоит отметить, что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метод не учитывает корреляцию между признаками и принимает их за независимые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[1].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[2]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. Иными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SHAP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4342FF2B" w14:textId="67CE2DAD" w:rsidR="00194041" w:rsidRPr="00194041" w:rsidRDefault="00194041" w:rsidP="00194041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54B2BB74" w14:textId="68D4E22B" w:rsidR="00194041" w:rsidRDefault="00D31004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интегрирован в машинное обучение</w:t>
      </w:r>
      <w:r w:rsidR="00DA75C3" w:rsidRPr="00DA7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позволяет модели </w:t>
      </w:r>
      <w:r w:rsidR="00DA75C3">
        <w:rPr>
          <w:rFonts w:ascii="Times New Roman" w:hAnsi="Times New Roman" w:cs="Times New Roman"/>
          <w:sz w:val="28"/>
          <w:szCs w:val="28"/>
        </w:rPr>
        <w:t xml:space="preserve">фокусироваться на конкретных участках входного сигнала, которые вносят наибольший вклад в итоговый прогноз </w:t>
      </w:r>
      <w:r w:rsidR="00DA75C3" w:rsidRPr="00DA75C3">
        <w:rPr>
          <w:rFonts w:ascii="Times New Roman" w:hAnsi="Times New Roman" w:cs="Times New Roman"/>
          <w:sz w:val="28"/>
          <w:szCs w:val="28"/>
        </w:rPr>
        <w:t>[3</w:t>
      </w:r>
      <w:r w:rsidR="00DA75C3">
        <w:rPr>
          <w:rFonts w:ascii="Times New Roman" w:hAnsi="Times New Roman" w:cs="Times New Roman"/>
          <w:sz w:val="28"/>
          <w:szCs w:val="28"/>
        </w:rPr>
        <w:t>, 4</w:t>
      </w:r>
      <w:r w:rsidR="00DA75C3" w:rsidRPr="00DA75C3">
        <w:rPr>
          <w:rFonts w:ascii="Times New Roman" w:hAnsi="Times New Roman" w:cs="Times New Roman"/>
          <w:sz w:val="28"/>
          <w:szCs w:val="28"/>
        </w:rPr>
        <w:t>]</w:t>
      </w:r>
      <w:r w:rsidR="00DA75C3">
        <w:rPr>
          <w:rFonts w:ascii="Times New Roman" w:hAnsi="Times New Roman" w:cs="Times New Roman"/>
          <w:sz w:val="28"/>
          <w:szCs w:val="28"/>
        </w:rPr>
        <w:t>.</w:t>
      </w:r>
      <w:r w:rsidR="00B75D5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ttention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можно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внедрить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 xml:space="preserve">специализированные </w:t>
      </w:r>
      <w:r w:rsidR="00B75D51">
        <w:rPr>
          <w:rFonts w:ascii="Times New Roman" w:hAnsi="Times New Roman" w:cs="Times New Roman"/>
          <w:sz w:val="28"/>
          <w:szCs w:val="28"/>
        </w:rPr>
        <w:lastRenderedPageBreak/>
        <w:t xml:space="preserve">предметные знания для лучшего учёта вклада каждого сегмента сигнала ЭКГ в конечную модель классификации </w:t>
      </w:r>
      <w:r w:rsidR="00B75D51" w:rsidRPr="00B75D51">
        <w:rPr>
          <w:rFonts w:ascii="Times New Roman" w:hAnsi="Times New Roman" w:cs="Times New Roman"/>
          <w:sz w:val="28"/>
          <w:szCs w:val="28"/>
        </w:rPr>
        <w:t>[4]</w:t>
      </w:r>
      <w:r w:rsidR="00B75D51">
        <w:rPr>
          <w:rFonts w:ascii="Times New Roman" w:hAnsi="Times New Roman" w:cs="Times New Roman"/>
          <w:sz w:val="28"/>
          <w:szCs w:val="28"/>
        </w:rPr>
        <w:t>.</w:t>
      </w:r>
    </w:p>
    <w:p w14:paraId="6D0B2BD7" w14:textId="05A1A462" w:rsidR="00B75D51" w:rsidRPr="00C55A0E" w:rsidRDefault="00C55A0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C55A0E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ttention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принимает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на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="00B75D51" w:rsidRPr="00B75D51">
        <w:rPr>
          <w:rFonts w:ascii="Times New Roman" w:hAnsi="Times New Roman" w:cs="Times New Roman"/>
          <w:sz w:val="28"/>
          <w:szCs w:val="28"/>
        </w:rPr>
        <w:t>:</w:t>
      </w:r>
    </w:p>
    <w:p w14:paraId="2EA8ED04" w14:textId="742ED96F" w:rsidR="00B75D51" w:rsidRDefault="00C55A0E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 w:rsidR="00A55F7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41D47" w14:textId="5C0B4676" w:rsidR="00A55F7C" w:rsidRPr="00A55F7C" w:rsidRDefault="00A55F7C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D1BA922" w14:textId="77777777" w:rsidR="00A55F7C" w:rsidRDefault="00A55F7C" w:rsidP="002076A5">
      <w:pPr>
        <w:pStyle w:val="a7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541ABACF" w14:textId="3F3F9574" w:rsidR="00A55F7C" w:rsidRPr="00A55F7C" w:rsidRDefault="00A55F7C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77AF3BE" w14:textId="7AB47E97" w:rsidR="00A55F7C" w:rsidRPr="002076A5" w:rsidRDefault="00A55F7C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​</m:t>
          </m:r>
        </m:oMath>
      </m:oMathPara>
    </w:p>
    <w:p w14:paraId="36E8E491" w14:textId="5B4E0D27" w:rsidR="002076A5" w:rsidRPr="00405A5A" w:rsidRDefault="002076A5" w:rsidP="002076A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0F2674D5" w14:textId="0ACB1669" w:rsidR="002076A5" w:rsidRPr="002076A5" w:rsidRDefault="002076A5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6E97D" w14:textId="6BE94406" w:rsidR="002076A5" w:rsidRPr="00405A5A" w:rsidRDefault="002076A5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DDF5955" w14:textId="4885B8B8" w:rsidR="00405A5A" w:rsidRDefault="00405A5A" w:rsidP="00405A5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405A5A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Однако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одной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из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главных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проблем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данного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 xml:space="preserve">интерпретируемого метода является высокая сложность вычислений, которая нуждается в оптимизации 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[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="00A1036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787102" w14:textId="69868D9E" w:rsidR="00223E8F" w:rsidRPr="00223E8F" w:rsidRDefault="00223E8F" w:rsidP="00223E8F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2701FE16" w14:textId="77777777" w:rsidR="00223E8F" w:rsidRPr="00223E8F" w:rsidRDefault="00223E8F" w:rsidP="00223E8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D07DFE6" w14:textId="05810FAC" w:rsidR="000557AC" w:rsidRPr="003C5B88" w:rsidRDefault="000557A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[1]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7C93D701" w:rsidR="0087122C" w:rsidRDefault="003A654C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0D66" w:rsidRPr="004E0D6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Lakkaraju, H. Fooling LIME and SHAP. In Proceedings of the AAAI/ACM Conference on AI, Ethics and Society, New York, NY, USA, 7–9 February 2020; pp. 180–186 </w:t>
      </w:r>
      <w:hyperlink r:id="rId6" w:history="1"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EEB646" w14:textId="090443B0" w:rsidR="00D31004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>R. Li, X. Zhang, H. Dai, B. Zhou and Z. Wang, "Interpretability Analysis of Heartbeat Classification Based on Heartbeat Activity’s Global Sequence Features and BiLSTM-Attention Neural Network," in IEEE Access, vol. 7, pp. 109870-109883,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hyperlink r:id="rId7" w:history="1">
        <w:r w:rsidR="00D31004"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1A059E1" w14:textId="46282DBA" w:rsidR="00DA75C3" w:rsidRDefault="00DA75C3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46432" w14:textId="1C203C3C" w:rsidR="00C55A0E" w:rsidRPr="00C55A0E" w:rsidRDefault="00C55A0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Bahdanau, D.; Cho, K.; Bengio, Y. Neural Machine Translation by Jointly Learning to Align and Translate. In Proceedings of the 3rd International Conference on Learning Representations, ICLR 2015, San Diego, CA, USA, 7–9 May 2015; Conference Track Proceedings.</w:t>
      </w:r>
      <w:r w:rsidRPr="00C55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1DD3ED" w14:textId="77777777" w:rsidR="003A654C" w:rsidRPr="00D31004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654C" w:rsidRPr="00D3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86271929">
    <w:abstractNumId w:val="8"/>
  </w:num>
  <w:num w:numId="2" w16cid:durableId="1723601560">
    <w:abstractNumId w:val="9"/>
  </w:num>
  <w:num w:numId="3" w16cid:durableId="1191382966">
    <w:abstractNumId w:val="1"/>
  </w:num>
  <w:num w:numId="4" w16cid:durableId="2146389765">
    <w:abstractNumId w:val="7"/>
  </w:num>
  <w:num w:numId="5" w16cid:durableId="1719040632">
    <w:abstractNumId w:val="2"/>
  </w:num>
  <w:num w:numId="6" w16cid:durableId="1407994428">
    <w:abstractNumId w:val="3"/>
  </w:num>
  <w:num w:numId="7" w16cid:durableId="545797117">
    <w:abstractNumId w:val="5"/>
  </w:num>
  <w:num w:numId="8" w16cid:durableId="1476991601">
    <w:abstractNumId w:val="4"/>
  </w:num>
  <w:num w:numId="9" w16cid:durableId="1108934662">
    <w:abstractNumId w:val="0"/>
  </w:num>
  <w:num w:numId="10" w16cid:durableId="196161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23F4A"/>
    <w:rsid w:val="000557AC"/>
    <w:rsid w:val="000F17CC"/>
    <w:rsid w:val="00180C47"/>
    <w:rsid w:val="00184A2F"/>
    <w:rsid w:val="00194041"/>
    <w:rsid w:val="001A3288"/>
    <w:rsid w:val="002076A5"/>
    <w:rsid w:val="00223E8F"/>
    <w:rsid w:val="00245BF7"/>
    <w:rsid w:val="002C614A"/>
    <w:rsid w:val="002D5600"/>
    <w:rsid w:val="00345CF5"/>
    <w:rsid w:val="003A654C"/>
    <w:rsid w:val="003C5B88"/>
    <w:rsid w:val="00405A5A"/>
    <w:rsid w:val="00417E9F"/>
    <w:rsid w:val="00490A82"/>
    <w:rsid w:val="004947BB"/>
    <w:rsid w:val="004B113B"/>
    <w:rsid w:val="004E0D66"/>
    <w:rsid w:val="004F4388"/>
    <w:rsid w:val="004F77B3"/>
    <w:rsid w:val="00594532"/>
    <w:rsid w:val="005E404D"/>
    <w:rsid w:val="006A5EC5"/>
    <w:rsid w:val="007B46B9"/>
    <w:rsid w:val="007D7D52"/>
    <w:rsid w:val="00811519"/>
    <w:rsid w:val="0087122C"/>
    <w:rsid w:val="009C51A5"/>
    <w:rsid w:val="00A07215"/>
    <w:rsid w:val="00A1036C"/>
    <w:rsid w:val="00A55F7C"/>
    <w:rsid w:val="00AA6B8E"/>
    <w:rsid w:val="00AE2A1F"/>
    <w:rsid w:val="00B049F9"/>
    <w:rsid w:val="00B72AF3"/>
    <w:rsid w:val="00B75D51"/>
    <w:rsid w:val="00BD3376"/>
    <w:rsid w:val="00C55A0E"/>
    <w:rsid w:val="00D03CB6"/>
    <w:rsid w:val="00D06D46"/>
    <w:rsid w:val="00D31004"/>
    <w:rsid w:val="00D60296"/>
    <w:rsid w:val="00D720D3"/>
    <w:rsid w:val="00D85732"/>
    <w:rsid w:val="00DA75C3"/>
    <w:rsid w:val="00DC7CAD"/>
    <w:rsid w:val="00DF517A"/>
    <w:rsid w:val="00E002CC"/>
    <w:rsid w:val="00E2750F"/>
    <w:rsid w:val="00E3642B"/>
    <w:rsid w:val="00E7140A"/>
    <w:rsid w:val="00EC1376"/>
    <w:rsid w:val="00FA26B6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4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023F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cai.org/proceedings/2019/8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790681/references#refer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3375627.3375830" TargetMode="External"/><Relationship Id="rId5" Type="http://schemas.openxmlformats.org/officeDocument/2006/relationships/hyperlink" Target="https://proceedings.neurips.cc/paper/2017/file/8a20a8621978632d76c43dfd28b67767-Pape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46</cp:revision>
  <dcterms:created xsi:type="dcterms:W3CDTF">2025-04-26T15:02:00Z</dcterms:created>
  <dcterms:modified xsi:type="dcterms:W3CDTF">2025-04-27T11:55:00Z</dcterms:modified>
</cp:coreProperties>
</file>