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B247" w14:textId="249E2463" w:rsidR="00417E9F" w:rsidRPr="003A654C" w:rsidRDefault="003A654C" w:rsidP="003A65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 Additive exPlanations</w:t>
      </w:r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7214709" w:rsidR="007B46B9" w:rsidRPr="007B46B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>:=(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1BEEFDDE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метод не учитывает корреляцию между признаками и принимает их за 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9BB757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</w:t>
      </w:r>
      <w:r w:rsidR="00993862" w:rsidRPr="00993862">
        <w:rPr>
          <w:rFonts w:ascii="Times New Roman" w:hAnsi="Times New Roman" w:cs="Times New Roman"/>
          <w:sz w:val="28"/>
          <w:szCs w:val="28"/>
        </w:rPr>
        <w:t>3]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</w:t>
      </w:r>
      <w:r w:rsidR="00B74FEF">
        <w:rPr>
          <w:rFonts w:ascii="Times New Roman" w:hAnsi="Times New Roman" w:cs="Times New Roman"/>
          <w:sz w:val="28"/>
          <w:szCs w:val="28"/>
        </w:rPr>
        <w:lastRenderedPageBreak/>
        <w:t xml:space="preserve">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3983FF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4885B8B8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405A5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Gradient-weighted Class Activation Mapping</w:t>
      </w:r>
    </w:p>
    <w:p w14:paraId="2701FE16" w14:textId="4E06CD08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[6]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1C1F7405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сверточном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[6]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C585908" w:rsidR="00901B22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вклад 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можно получить из уравнения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(выше, поставить номера!)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как это выражено в уравнении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ниже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, поставить номера!)</w:t>
      </w:r>
      <w:r w:rsid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E75A131" w14:textId="041D487E" w:rsidR="00DC0B58" w:rsidRPr="007A3332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2F4EEF8F" w:rsidR="007A3332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интерпретации результатов классификации сигналов ЭКГ при помощи свёрточных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2C1F1D1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33157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4681B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963D21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5801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8C192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67C55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E7805" w14:textId="2D46737E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98025" w14:textId="77777777" w:rsidR="00BD32E3" w:rsidRPr="00BD32E3" w:rsidRDefault="00BD32E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BD32E3">
        <w:rPr>
          <w:rFonts w:ascii="Times New Roman" w:hAnsi="Times New Roman" w:cs="Times New Roman"/>
          <w:sz w:val="28"/>
          <w:szCs w:val="28"/>
        </w:rPr>
        <w:br w:type="page"/>
      </w:r>
    </w:p>
    <w:p w14:paraId="4BFFBEC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4EACC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2A54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021E2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BFD2A6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FEB09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0F1DB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95CC2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B750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69627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8DC4C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CB43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5FDCB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EE218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106D1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00EAB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1CEB7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2A3B7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CEF1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7F93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A64E6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D028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5578D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C31EB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2D1AD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08116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10E8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7DFE6" w14:textId="3226C8A7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Lakkaraju, H. Fooling LIME and SHAP. In Proceedings of the AAAI/ACM Conference on AI, Ethics and Society, New York, NY, USA, 7–9 February 2020; pp. 180–186 </w:t>
      </w:r>
      <w:hyperlink r:id="rId7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BiLSTM-Attention Neural Network," in IEEE Access, vol. 7, pp. 109870-109883, 2019. </w:t>
      </w:r>
      <w:hyperlink r:id="rId8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Bahdanau,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2E02EB5C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Lapedriza, A.; Oliva, A.; Torralba, A. Learning Deep Features for Discriminative Localization. In Proceedings of the 2016 IEEE Conference on Computer Vision and Pattern Recognition (CVPR), Las Vegas, NV, USA, 27–30 June 2016. </w:t>
      </w:r>
      <w:hyperlink r:id="rId10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61D7E" w14:textId="49429899" w:rsidR="00E93991" w:rsidRDefault="00E93991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>Ayano, Y.M.; Schwenker, F.; Dufera, B.D.; Debelee, T.G. Interpretable Machine Learning Techniques in ECG-Based Heart Disease Classification: A Systematic Review. </w:t>
      </w:r>
      <w:r w:rsidRPr="00E93991">
        <w:rPr>
          <w:rFonts w:ascii="Times New Roman" w:hAnsi="Times New Roman" w:cs="Times New Roman"/>
          <w:i/>
          <w:iCs/>
          <w:sz w:val="28"/>
          <w:szCs w:val="28"/>
        </w:rPr>
        <w:t>Diagnostics</w:t>
      </w:r>
      <w:r w:rsidRPr="00E93991">
        <w:rPr>
          <w:rFonts w:ascii="Times New Roman" w:hAnsi="Times New Roman" w:cs="Times New Roman"/>
          <w:sz w:val="28"/>
          <w:szCs w:val="28"/>
        </w:rPr>
        <w:t> </w:t>
      </w:r>
      <w:r w:rsidRPr="00E93991">
        <w:rPr>
          <w:rFonts w:ascii="Times New Roman" w:hAnsi="Times New Roman" w:cs="Times New Roman"/>
          <w:b/>
          <w:bCs/>
          <w:sz w:val="28"/>
          <w:szCs w:val="28"/>
        </w:rPr>
        <w:t>2023</w:t>
      </w:r>
      <w:r w:rsidRPr="00E93991">
        <w:rPr>
          <w:rFonts w:ascii="Times New Roman" w:hAnsi="Times New Roman" w:cs="Times New Roman"/>
          <w:sz w:val="28"/>
          <w:szCs w:val="28"/>
        </w:rPr>
        <w:t>, </w:t>
      </w:r>
      <w:r w:rsidRPr="00E93991">
        <w:rPr>
          <w:rFonts w:ascii="Times New Roman" w:hAnsi="Times New Roman" w:cs="Times New Roman"/>
          <w:i/>
          <w:iCs/>
          <w:sz w:val="28"/>
          <w:szCs w:val="28"/>
        </w:rPr>
        <w:t>13</w:t>
      </w:r>
      <w:r w:rsidRPr="00E93991">
        <w:rPr>
          <w:rFonts w:ascii="Times New Roman" w:hAnsi="Times New Roman" w:cs="Times New Roman"/>
          <w:sz w:val="28"/>
          <w:szCs w:val="28"/>
        </w:rPr>
        <w:t xml:space="preserve">, 111. </w:t>
      </w:r>
      <w:hyperlink r:id="rId11" w:history="1">
        <w:r w:rsidR="00DC0B58" w:rsidRPr="00236E6F">
          <w:rPr>
            <w:rStyle w:val="ac"/>
            <w:rFonts w:ascii="Times New Roman" w:hAnsi="Times New Roman" w:cs="Times New Roman"/>
            <w:sz w:val="28"/>
            <w:szCs w:val="28"/>
          </w:rPr>
          <w:t>https://doi.org/10.3390/diag</w:t>
        </w:r>
        <w:r w:rsidR="00DC0B58" w:rsidRPr="00236E6F">
          <w:rPr>
            <w:rStyle w:val="ac"/>
            <w:rFonts w:ascii="Times New Roman" w:hAnsi="Times New Roman" w:cs="Times New Roman"/>
            <w:sz w:val="28"/>
            <w:szCs w:val="28"/>
          </w:rPr>
          <w:t>n</w:t>
        </w:r>
        <w:r w:rsidR="00DC0B58" w:rsidRPr="00236E6F">
          <w:rPr>
            <w:rStyle w:val="ac"/>
            <w:rFonts w:ascii="Times New Roman" w:hAnsi="Times New Roman" w:cs="Times New Roman"/>
            <w:sz w:val="28"/>
            <w:szCs w:val="28"/>
          </w:rPr>
          <w:t>ostics13010111</w:t>
        </w:r>
      </w:hyperlink>
      <w:r w:rsidR="00DC0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E8E82F" w14:textId="4039506E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[8] </w:t>
      </w:r>
      <w:r w:rsidRPr="00BD32E3">
        <w:rPr>
          <w:rFonts w:ascii="Times New Roman" w:hAnsi="Times New Roman" w:cs="Times New Roman"/>
          <w:sz w:val="28"/>
          <w:szCs w:val="28"/>
          <w:lang w:val="en-US"/>
        </w:rPr>
        <w:t xml:space="preserve">Goodfellow, S.D.; Goodwin, A.; Greer, R.; Laussen, P.C.; Mazwi, M.; Eytan, D. Towards Understanding ECG Rhythm Classification Using Convolutional Neural Networks and Attention Mappings. In Proceedings of the 3rd Machine </w:t>
      </w:r>
      <w:r w:rsidRPr="00BD32E3">
        <w:rPr>
          <w:rFonts w:ascii="Times New Roman" w:hAnsi="Times New Roman" w:cs="Times New Roman"/>
          <w:sz w:val="28"/>
          <w:szCs w:val="28"/>
          <w:lang w:val="en-US"/>
        </w:rPr>
        <w:lastRenderedPageBreak/>
        <w:t>Learning for Healthcare Conference, Palo Alto, CA, USA, 17–18 August 2018; Volume 85, pp. 83–101.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86271929">
    <w:abstractNumId w:val="8"/>
  </w:num>
  <w:num w:numId="2" w16cid:durableId="1723601560">
    <w:abstractNumId w:val="9"/>
  </w:num>
  <w:num w:numId="3" w16cid:durableId="1191382966">
    <w:abstractNumId w:val="1"/>
  </w:num>
  <w:num w:numId="4" w16cid:durableId="2146389765">
    <w:abstractNumId w:val="7"/>
  </w:num>
  <w:num w:numId="5" w16cid:durableId="1719040632">
    <w:abstractNumId w:val="2"/>
  </w:num>
  <w:num w:numId="6" w16cid:durableId="1407994428">
    <w:abstractNumId w:val="3"/>
  </w:num>
  <w:num w:numId="7" w16cid:durableId="545797117">
    <w:abstractNumId w:val="5"/>
  </w:num>
  <w:num w:numId="8" w16cid:durableId="1476991601">
    <w:abstractNumId w:val="4"/>
  </w:num>
  <w:num w:numId="9" w16cid:durableId="1108934662">
    <w:abstractNumId w:val="0"/>
  </w:num>
  <w:num w:numId="10" w16cid:durableId="196161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23F4A"/>
    <w:rsid w:val="00025E12"/>
    <w:rsid w:val="000557AC"/>
    <w:rsid w:val="000F17CC"/>
    <w:rsid w:val="00180C47"/>
    <w:rsid w:val="00184A2F"/>
    <w:rsid w:val="00185E85"/>
    <w:rsid w:val="00194041"/>
    <w:rsid w:val="001A3288"/>
    <w:rsid w:val="002076A5"/>
    <w:rsid w:val="00223E8F"/>
    <w:rsid w:val="00245BF7"/>
    <w:rsid w:val="002A5E18"/>
    <w:rsid w:val="002C614A"/>
    <w:rsid w:val="002D5600"/>
    <w:rsid w:val="00345CF5"/>
    <w:rsid w:val="003A654C"/>
    <w:rsid w:val="003B53AE"/>
    <w:rsid w:val="003C5B88"/>
    <w:rsid w:val="00405A5A"/>
    <w:rsid w:val="00417CDA"/>
    <w:rsid w:val="00417E9F"/>
    <w:rsid w:val="00464021"/>
    <w:rsid w:val="0047520F"/>
    <w:rsid w:val="00490A82"/>
    <w:rsid w:val="004947BB"/>
    <w:rsid w:val="004A377D"/>
    <w:rsid w:val="004B113B"/>
    <w:rsid w:val="004E0D66"/>
    <w:rsid w:val="004F4388"/>
    <w:rsid w:val="004F77B3"/>
    <w:rsid w:val="00594532"/>
    <w:rsid w:val="005E404D"/>
    <w:rsid w:val="006A5EC5"/>
    <w:rsid w:val="007A3332"/>
    <w:rsid w:val="007B46B9"/>
    <w:rsid w:val="007D7D52"/>
    <w:rsid w:val="00811519"/>
    <w:rsid w:val="0087122C"/>
    <w:rsid w:val="00901B22"/>
    <w:rsid w:val="00993862"/>
    <w:rsid w:val="009C51A5"/>
    <w:rsid w:val="00A07215"/>
    <w:rsid w:val="00A1036C"/>
    <w:rsid w:val="00A26798"/>
    <w:rsid w:val="00A32759"/>
    <w:rsid w:val="00A4042F"/>
    <w:rsid w:val="00A45569"/>
    <w:rsid w:val="00A55F7C"/>
    <w:rsid w:val="00AA6B8E"/>
    <w:rsid w:val="00AE2A1F"/>
    <w:rsid w:val="00B049F9"/>
    <w:rsid w:val="00B1273D"/>
    <w:rsid w:val="00B72AF3"/>
    <w:rsid w:val="00B74FEF"/>
    <w:rsid w:val="00B75D51"/>
    <w:rsid w:val="00B769EB"/>
    <w:rsid w:val="00B819C7"/>
    <w:rsid w:val="00BD32E3"/>
    <w:rsid w:val="00BD3376"/>
    <w:rsid w:val="00C55A0E"/>
    <w:rsid w:val="00CC3E7D"/>
    <w:rsid w:val="00D03CB6"/>
    <w:rsid w:val="00D06D46"/>
    <w:rsid w:val="00D31004"/>
    <w:rsid w:val="00D60296"/>
    <w:rsid w:val="00D720D3"/>
    <w:rsid w:val="00D85732"/>
    <w:rsid w:val="00DA75C3"/>
    <w:rsid w:val="00DC0B58"/>
    <w:rsid w:val="00DC7CAD"/>
    <w:rsid w:val="00DF517A"/>
    <w:rsid w:val="00E002CC"/>
    <w:rsid w:val="00E2750F"/>
    <w:rsid w:val="00E3642B"/>
    <w:rsid w:val="00E7140A"/>
    <w:rsid w:val="00E93991"/>
    <w:rsid w:val="00EC1376"/>
    <w:rsid w:val="00EF728E"/>
    <w:rsid w:val="00FA26B6"/>
    <w:rsid w:val="00FC3B5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3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790681/referen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145/3375627.337583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ceedings.neurips.cc/paper/2017/file/8a20a8621978632d76c43dfd28b67767-Paper.pdf" TargetMode="External"/><Relationship Id="rId11" Type="http://schemas.openxmlformats.org/officeDocument/2006/relationships/hyperlink" Target="https://doi.org/10.3390/diagnostics130101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77806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jcai.org/proceedings/2019/8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64</cp:revision>
  <dcterms:created xsi:type="dcterms:W3CDTF">2025-04-26T15:02:00Z</dcterms:created>
  <dcterms:modified xsi:type="dcterms:W3CDTF">2025-04-28T19:37:00Z</dcterms:modified>
</cp:coreProperties>
</file>