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3974" w14:textId="5DCD362D" w:rsidR="00364C46" w:rsidRDefault="003A654C" w:rsidP="00364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48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4A0F12" w14:textId="28C6388C" w:rsidR="00364C46" w:rsidRPr="00364C46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</w:t>
      </w:r>
      <w:r w:rsidR="002F5584">
        <w:rPr>
          <w:rFonts w:ascii="Times New Roman" w:hAnsi="Times New Roman" w:cs="Times New Roman"/>
          <w:sz w:val="28"/>
          <w:szCs w:val="28"/>
        </w:rPr>
        <w:t xml:space="preserve"> В данном разделе рассматриваются три </w:t>
      </w:r>
      <w:r w:rsidR="002F5584" w:rsidRPr="008F5527">
        <w:rPr>
          <w:rFonts w:ascii="Times New Roman" w:hAnsi="Times New Roman" w:cs="Times New Roman"/>
          <w:sz w:val="28"/>
          <w:szCs w:val="28"/>
        </w:rPr>
        <w:t>наиболее распространённых интерпретируемых метода машинного обучения</w:t>
      </w:r>
      <w:r w:rsidR="002F5584"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 w:rsidR="002F5584">
        <w:rPr>
          <w:rFonts w:ascii="Times New Roman" w:hAnsi="Times New Roman" w:cs="Times New Roman"/>
          <w:sz w:val="28"/>
          <w:szCs w:val="28"/>
        </w:rPr>
        <w:t>на основе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 w:rsidR="002F5584">
        <w:rPr>
          <w:rFonts w:ascii="Times New Roman" w:hAnsi="Times New Roman" w:cs="Times New Roman"/>
          <w:sz w:val="28"/>
          <w:szCs w:val="28"/>
        </w:rPr>
        <w:t>-сигнала.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 Additive exPlanations</w:t>
      </w:r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DD107DB" w:rsidR="007B46B9" w:rsidRPr="008F6F3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="008F6F39" w:rsidRPr="00490A82">
        <w:rPr>
          <w:rFonts w:ascii="Cambria Math" w:hAnsi="Cambria Math" w:cs="Cambria Math"/>
          <w:sz w:val="28"/>
          <w:szCs w:val="28"/>
        </w:rPr>
        <w:t>𝑥</w:t>
      </w:r>
      <w:r w:rsidR="008F6F39"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B46B9"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1BEEFDDE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r w:rsidRPr="007D7D52">
        <w:rPr>
          <w:rFonts w:ascii="Times New Roman" w:hAnsi="Times New Roman" w:cs="Times New Roman"/>
          <w:sz w:val="28"/>
          <w:szCs w:val="28"/>
        </w:rPr>
        <w:t>={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2780763D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не учитывает корреляцию между признаками и принимает их за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69BB757D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993862" w:rsidRPr="00993862">
        <w:rPr>
          <w:rFonts w:ascii="Times New Roman" w:hAnsi="Times New Roman" w:cs="Times New Roman"/>
          <w:sz w:val="28"/>
          <w:szCs w:val="28"/>
        </w:rPr>
        <w:t>[3]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[3</w:t>
      </w:r>
      <w:r w:rsidR="00DA75C3">
        <w:rPr>
          <w:rFonts w:ascii="Times New Roman" w:hAnsi="Times New Roman" w:cs="Times New Roman"/>
          <w:sz w:val="28"/>
          <w:szCs w:val="28"/>
        </w:rPr>
        <w:t>, 4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[4]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53983FF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4885B8B8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405A5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4E06CD08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[6]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6E4DE11C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св</w:t>
      </w:r>
      <w:r w:rsidR="00C8200D">
        <w:rPr>
          <w:rFonts w:ascii="Times New Roman" w:hAnsi="Times New Roman" w:cs="Times New Roman"/>
          <w:iCs/>
          <w:sz w:val="28"/>
          <w:szCs w:val="28"/>
        </w:rPr>
        <w:t>ё</w:t>
      </w:r>
      <w:r>
        <w:rPr>
          <w:rFonts w:ascii="Times New Roman" w:hAnsi="Times New Roman" w:cs="Times New Roman"/>
          <w:iCs/>
          <w:sz w:val="28"/>
          <w:szCs w:val="28"/>
        </w:rPr>
        <w:t>рточном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[6]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C585908" w:rsidR="00901B22" w:rsidRPr="008F6F39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вклад 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можно получить из уравнения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(выше, поставить номера!)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как это выражено в уравнении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(ниже, поставить номера!)</w:t>
      </w:r>
      <w:r w:rsid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E75A131" w14:textId="041D487E" w:rsidR="00DC0B58" w:rsidRPr="007A3332" w:rsidRDefault="00000000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2F4EEF8F" w:rsidR="007A3332" w:rsidRPr="008F6F39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000000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Pr="008F6F39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интерпретации результатов классификации сигналов ЭКГ при помощи свёрточных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2C1F1D1D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8C9E1" w14:textId="4C33AEF2" w:rsidR="00A1270F" w:rsidRPr="00A1270F" w:rsidRDefault="00A1270F" w:rsidP="00A1270F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27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E7EA95A" w14:textId="4611C2B1" w:rsidR="00A1270F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мы рассмотрим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</w:t>
      </w:r>
      <w:r w:rsidR="00C820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36F74">
        <w:rPr>
          <w:rFonts w:ascii="Times New Roman" w:hAnsi="Times New Roman" w:cs="Times New Roman"/>
          <w:sz w:val="28"/>
          <w:szCs w:val="28"/>
        </w:rPr>
        <w:t>объяснения своего решения о предсказании сердечно-сосудистого</w:t>
      </w:r>
      <w:r w:rsidR="00746F53">
        <w:rPr>
          <w:rFonts w:ascii="Times New Roman" w:hAnsi="Times New Roman" w:cs="Times New Roman"/>
          <w:sz w:val="28"/>
          <w:szCs w:val="28"/>
        </w:rPr>
        <w:t xml:space="preserve"> заболевания</w:t>
      </w:r>
      <w:r w:rsidR="00A36F74">
        <w:rPr>
          <w:rFonts w:ascii="Times New Roman" w:hAnsi="Times New Roman" w:cs="Times New Roman"/>
          <w:sz w:val="28"/>
          <w:szCs w:val="28"/>
        </w:rPr>
        <w:t>.</w:t>
      </w:r>
    </w:p>
    <w:p w14:paraId="4BFFBEC5" w14:textId="48E94CA3" w:rsidR="00BD32E3" w:rsidRDefault="00A36F74" w:rsidP="00A36F74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</w:p>
    <w:p w14:paraId="137007D5" w14:textId="25B45447" w:rsidR="00A36F74" w:rsidRDefault="007C0624" w:rsidP="00683A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DF4C50">
        <w:rPr>
          <w:rFonts w:ascii="Times New Roman" w:hAnsi="Times New Roman" w:cs="Times New Roman"/>
          <w:sz w:val="28"/>
          <w:szCs w:val="28"/>
        </w:rPr>
        <w:t>[</w:t>
      </w:r>
      <w:r w:rsidR="00DF4C50" w:rsidRPr="00DF4C50">
        <w:rPr>
          <w:rFonts w:ascii="Times New Roman" w:hAnsi="Times New Roman" w:cs="Times New Roman"/>
          <w:sz w:val="28"/>
          <w:szCs w:val="28"/>
        </w:rPr>
        <w:t>9</w:t>
      </w:r>
      <w:r w:rsidRPr="00DF4C50">
        <w:rPr>
          <w:rFonts w:ascii="Times New Roman" w:hAnsi="Times New Roman" w:cs="Times New Roman"/>
          <w:sz w:val="28"/>
          <w:szCs w:val="28"/>
        </w:rPr>
        <w:t>]</w:t>
      </w:r>
      <w:r w:rsidR="00DF4C50" w:rsidRPr="00DF4C50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</w:t>
      </w:r>
      <w:r w:rsidR="0034221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42214" w:rsidRPr="00342214">
        <w:rPr>
          <w:rFonts w:ascii="Times New Roman" w:hAnsi="Times New Roman" w:cs="Times New Roman"/>
          <w:sz w:val="28"/>
          <w:szCs w:val="28"/>
        </w:rPr>
        <w:t>1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>для автоматической мультиклассовой классификации аритмий по данным ЭКГ в 12 отделениях.</w:t>
      </w:r>
      <w:r w:rsidR="00342214">
        <w:rPr>
          <w:rFonts w:ascii="Times New Roman" w:hAnsi="Times New Roman" w:cs="Times New Roman"/>
          <w:sz w:val="28"/>
          <w:szCs w:val="28"/>
        </w:rPr>
        <w:t xml:space="preserve"> Обзор предлагаемой архитектуры представлена на рисунке 1.</w:t>
      </w:r>
    </w:p>
    <w:p w14:paraId="2518E7E2" w14:textId="47847E74" w:rsidR="00342214" w:rsidRPr="00DF4C50" w:rsidRDefault="00342214" w:rsidP="00A3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F35" wp14:editId="6B9270A3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F72" w14:textId="77777777" w:rsidR="00342214" w:rsidRDefault="00342214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AA9">
        <w:rPr>
          <w:rFonts w:ascii="Times New Roman" w:hAnsi="Times New Roman" w:cs="Times New Roman"/>
          <w:sz w:val="28"/>
          <w:szCs w:val="28"/>
        </w:rPr>
        <w:lastRenderedPageBreak/>
        <w:t xml:space="preserve">Рисунок 1 Архитектура глубокой нейронной сети для диагностики аритмии сердца </w:t>
      </w:r>
    </w:p>
    <w:p w14:paraId="64A9268E" w14:textId="270163E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свёрточные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787ECD">
        <w:rPr>
          <w:rFonts w:ascii="Times New Roman" w:hAnsi="Times New Roman" w:cs="Times New Roman"/>
          <w:sz w:val="28"/>
          <w:szCs w:val="28"/>
        </w:rPr>
        <w:t>9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[</w:t>
      </w:r>
      <w:r w:rsidRPr="00683AA9">
        <w:rPr>
          <w:rFonts w:ascii="Times New Roman" w:hAnsi="Times New Roman" w:cs="Times New Roman"/>
          <w:sz w:val="28"/>
          <w:szCs w:val="28"/>
        </w:rPr>
        <w:t>1</w:t>
      </w:r>
      <w:r w:rsidRPr="009669C6">
        <w:rPr>
          <w:rFonts w:ascii="Times New Roman" w:hAnsi="Times New Roman" w:cs="Times New Roman"/>
          <w:sz w:val="28"/>
          <w:szCs w:val="28"/>
        </w:rPr>
        <w:t>] для повышения клинической интерпретируемости как на уровне отдельных пациентов, так и на уровне населения в целом</w:t>
      </w:r>
      <w:r w:rsidR="00F5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57B20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 xml:space="preserve"> 2 демонстриру</w:t>
      </w:r>
      <w:r w:rsidR="00F57B20">
        <w:rPr>
          <w:rFonts w:ascii="Times New Roman" w:hAnsi="Times New Roman" w:cs="Times New Roman"/>
          <w:sz w:val="28"/>
          <w:szCs w:val="28"/>
        </w:rPr>
        <w:t>ет данный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7B20">
        <w:rPr>
          <w:rFonts w:ascii="Times New Roman" w:hAnsi="Times New Roman" w:cs="Times New Roman"/>
          <w:sz w:val="28"/>
          <w:szCs w:val="28"/>
        </w:rPr>
        <w:t>.</w:t>
      </w:r>
    </w:p>
    <w:p w14:paraId="15F4F748" w14:textId="71BF2F5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008F" wp14:editId="1BA70BFB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59F" w14:textId="62FAB202" w:rsidR="00683AA9" w:rsidRP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</w:t>
      </w:r>
      <w:r w:rsidRPr="00683AA9">
        <w:rPr>
          <w:rFonts w:ascii="Times New Roman" w:hAnsi="Times New Roman" w:cs="Times New Roman"/>
          <w:sz w:val="28"/>
          <w:szCs w:val="28"/>
        </w:rPr>
        <w:t xml:space="preserve"> модели глубокого обучения как на уровне пациента, так и на уровне популяции с использованием значений SHAP</w:t>
      </w:r>
    </w:p>
    <w:p w14:paraId="60DDC721" w14:textId="60DB8E42" w:rsidR="006C3461" w:rsidRPr="0045079E" w:rsidRDefault="00683AA9" w:rsidP="000F67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уровне отдельного пациента </w:t>
      </w:r>
      <w:r w:rsidR="003C35EB">
        <w:rPr>
          <w:rFonts w:ascii="Times New Roman" w:hAnsi="Times New Roman" w:cs="Times New Roman"/>
          <w:sz w:val="28"/>
          <w:szCs w:val="28"/>
        </w:rPr>
        <w:t>д</w:t>
      </w:r>
      <w:r w:rsidR="003C35EB" w:rsidRPr="003C35EB">
        <w:rPr>
          <w:rFonts w:ascii="Times New Roman" w:hAnsi="Times New Roman" w:cs="Times New Roman"/>
          <w:sz w:val="28"/>
          <w:szCs w:val="28"/>
        </w:rPr>
        <w:t>ля каждого входного сигнала ЭКГ с наиболее прогнозируемым классом сердечной аритмии</w:t>
      </w:r>
      <w:r w:rsidR="003C35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C35EB" w:rsidRPr="003C35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35EB">
        <w:rPr>
          <w:rFonts w:ascii="Times New Roman" w:eastAsiaTheme="minorEastAsia" w:hAnsi="Times New Roman" w:cs="Times New Roman"/>
          <w:sz w:val="28"/>
          <w:szCs w:val="28"/>
        </w:rPr>
        <w:t xml:space="preserve">визуализируется матрица значений </w:t>
      </w:r>
      <w:r w:rsidR="003C35EB" w:rsidRPr="00683AA9">
        <w:rPr>
          <w:rFonts w:ascii="Times New Roman" w:hAnsi="Times New Roman" w:cs="Times New Roman"/>
          <w:sz w:val="28"/>
          <w:szCs w:val="28"/>
        </w:rPr>
        <w:t>SHAP</w:t>
      </w:r>
      <w:r w:rsidR="003C35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FA175B">
        <w:rPr>
          <w:rFonts w:ascii="Times New Roman" w:eastAsiaTheme="minorEastAsia" w:hAnsi="Times New Roman" w:cs="Times New Roman"/>
          <w:sz w:val="28"/>
          <w:szCs w:val="28"/>
        </w:rPr>
        <w:t xml:space="preserve"> вместе с необработанной матрицей сигналов ЭКГ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1D79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9D3" w:rsidRPr="001D79D3">
        <w:rPr>
          <w:rFonts w:ascii="Times New Roman" w:hAnsi="Times New Roman" w:cs="Times New Roman"/>
          <w:sz w:val="28"/>
          <w:szCs w:val="28"/>
        </w:rPr>
        <w:t>[9]</w:t>
      </w:r>
      <w:r w:rsidR="00FA175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9D3" w:rsidRPr="001D79D3">
        <w:rPr>
          <w:rFonts w:ascii="Times New Roman" w:eastAsiaTheme="minorEastAsia" w:hAnsi="Times New Roman" w:cs="Times New Roman"/>
          <w:sz w:val="28"/>
          <w:szCs w:val="28"/>
        </w:rPr>
        <w:t>Обнаруженные моделью характерные признаки (например, отсутствие волн P при AF, удлинённые интервалы PR при IAVB, специфические изменения комплексов QRS при LBBB и RBBB) соответствуют общепринятым диагностическим критериям</w:t>
      </w:r>
      <w:r w:rsidR="00EF5A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модели для нескольких ЭКГ сигнала пациента с номером 4 из </w:t>
      </w:r>
      <w:r w:rsidR="006C3461">
        <w:rPr>
          <w:rFonts w:ascii="Times New Roman" w:eastAsiaTheme="minorEastAsia" w:hAnsi="Times New Roman" w:cs="Times New Roman"/>
          <w:sz w:val="28"/>
          <w:szCs w:val="28"/>
        </w:rPr>
        <w:t xml:space="preserve">набора данных </w:t>
      </w:r>
      <w:r w:rsidR="006C3461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3461" w:rsidRPr="008F5527">
        <w:rPr>
          <w:rFonts w:ascii="Times New Roman" w:hAnsi="Times New Roman" w:cs="Times New Roman"/>
          <w:sz w:val="28"/>
          <w:szCs w:val="28"/>
        </w:rPr>
        <w:t>2018</w:t>
      </w:r>
      <w:r w:rsidR="006C3461">
        <w:rPr>
          <w:rFonts w:ascii="Times New Roman" w:hAnsi="Times New Roman" w:cs="Times New Roman"/>
          <w:sz w:val="28"/>
          <w:szCs w:val="28"/>
        </w:rPr>
        <w:t xml:space="preserve"> </w:t>
      </w:r>
      <w:r w:rsidR="006C3461"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="006C3461" w:rsidRPr="006C3461">
        <w:rPr>
          <w:rFonts w:ascii="Times New Roman" w:hAnsi="Times New Roman" w:cs="Times New Roman"/>
          <w:sz w:val="28"/>
          <w:szCs w:val="28"/>
        </w:rPr>
        <w:t xml:space="preserve"> </w:t>
      </w:r>
      <w:r w:rsidR="006C3461">
        <w:rPr>
          <w:rFonts w:ascii="Times New Roman" w:hAnsi="Times New Roman" w:cs="Times New Roman"/>
          <w:sz w:val="28"/>
          <w:szCs w:val="28"/>
        </w:rPr>
        <w:t>представлено на рисунке 3</w:t>
      </w:r>
      <w:r w:rsidR="009D1E6B">
        <w:rPr>
          <w:rFonts w:ascii="Times New Roman" w:hAnsi="Times New Roman" w:cs="Times New Roman"/>
          <w:sz w:val="28"/>
          <w:szCs w:val="28"/>
        </w:rPr>
        <w:t>, где х</w:t>
      </w:r>
      <w:r w:rsidR="009D1E6B" w:rsidRPr="009D1E6B">
        <w:rPr>
          <w:rFonts w:ascii="Times New Roman" w:hAnsi="Times New Roman" w:cs="Times New Roman"/>
          <w:sz w:val="28"/>
          <w:szCs w:val="28"/>
        </w:rPr>
        <w:t>арактеристики с высоким вкладом (значениями SHAP) выделены оранжевым цветом. Из-за ограниченного пространства отображаются только последние 10 секунд из 2 наиболее влиятельных лидеров</w:t>
      </w:r>
      <w:r w:rsidR="00025BC5">
        <w:rPr>
          <w:rFonts w:ascii="Times New Roman" w:hAnsi="Times New Roman" w:cs="Times New Roman"/>
          <w:sz w:val="28"/>
          <w:szCs w:val="28"/>
        </w:rPr>
        <w:t xml:space="preserve"> </w:t>
      </w:r>
      <w:r w:rsidR="00025BC5" w:rsidRPr="001D79D3">
        <w:rPr>
          <w:rFonts w:ascii="Times New Roman" w:hAnsi="Times New Roman" w:cs="Times New Roman"/>
          <w:sz w:val="28"/>
          <w:szCs w:val="28"/>
        </w:rPr>
        <w:t>[9]</w:t>
      </w:r>
      <w:r w:rsidR="0045079E" w:rsidRPr="0045079E">
        <w:rPr>
          <w:rFonts w:ascii="Times New Roman" w:hAnsi="Times New Roman" w:cs="Times New Roman"/>
          <w:sz w:val="28"/>
          <w:szCs w:val="28"/>
        </w:rPr>
        <w:t>:</w:t>
      </w:r>
    </w:p>
    <w:p w14:paraId="4354EACC" w14:textId="340C8F2F" w:rsidR="00BD32E3" w:rsidRPr="006C3461" w:rsidRDefault="006C3461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130BB06" wp14:editId="17B473EB">
            <wp:extent cx="5731510" cy="3183890"/>
            <wp:effectExtent l="0" t="0" r="2540" b="0"/>
            <wp:docPr id="133851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6874" name="Рисунок 1338516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54E" w14:textId="216B0F97" w:rsidR="00BD32E3" w:rsidRPr="00BD32E3" w:rsidRDefault="006C3461" w:rsidP="001D79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Объяснение результатов прогнозирования модели для пациента </w:t>
      </w:r>
      <w:r w:rsidR="00E00E43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BFD2A6" w14:textId="4290D5EA" w:rsidR="00BD32E3" w:rsidRDefault="009D1E6B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Pr="009D1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данная модель не является безошибочной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Pr="009D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9D1E6B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9D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9D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D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неудачных случаев интерпретации.</w:t>
      </w:r>
    </w:p>
    <w:p w14:paraId="35A55ED7" w14:textId="7C4ED680" w:rsidR="005D774A" w:rsidRDefault="005D774A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D774A">
        <w:rPr>
          <w:rFonts w:ascii="Times New Roman" w:hAnsi="Times New Roman" w:cs="Times New Roman"/>
          <w:sz w:val="28"/>
          <w:szCs w:val="28"/>
        </w:rPr>
        <w:t xml:space="preserve">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5D774A">
        <w:rPr>
          <w:rFonts w:ascii="Times New Roman" w:hAnsi="Times New Roman" w:cs="Times New Roman"/>
          <w:sz w:val="28"/>
          <w:szCs w:val="28"/>
        </w:rPr>
        <w:t>SHAP значения позволили оценить вклад отдельных отведений в классификацию каждой</w:t>
      </w:r>
      <w:r>
        <w:rPr>
          <w:rFonts w:ascii="Times New Roman" w:hAnsi="Times New Roman" w:cs="Times New Roman"/>
          <w:sz w:val="28"/>
          <w:szCs w:val="28"/>
        </w:rPr>
        <w:t xml:space="preserve"> формы сердечно-сосудистого заболевания</w:t>
      </w:r>
      <w:r w:rsidRPr="005D774A">
        <w:rPr>
          <w:rFonts w:ascii="Times New Roman" w:hAnsi="Times New Roman" w:cs="Times New Roman"/>
          <w:sz w:val="28"/>
          <w:szCs w:val="28"/>
        </w:rPr>
        <w:t xml:space="preserve">. Наиболее значимыми отведениями оказались II, aVR, V1, V2, V5 и V6, в то время как отведения III и aVL демонстрируют низкий вклад. Эти выводы согласуются с клиническими рекомендациями и подтверждают, что модель способна опираться на релевантные признаки </w:t>
      </w:r>
      <w:r w:rsidRPr="005D774A">
        <w:rPr>
          <w:rFonts w:ascii="Times New Roman" w:hAnsi="Times New Roman" w:cs="Times New Roman"/>
          <w:sz w:val="28"/>
          <w:szCs w:val="28"/>
        </w:rPr>
        <w:lastRenderedPageBreak/>
        <w:t>при диагностике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D3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92674">
        <w:rPr>
          <w:rFonts w:ascii="Times New Roman" w:eastAsiaTheme="minorEastAsia" w:hAnsi="Times New Roman" w:cs="Times New Roman"/>
          <w:sz w:val="28"/>
          <w:szCs w:val="28"/>
        </w:rPr>
        <w:t xml:space="preserve"> Рисунок 5 демонстрирует </w:t>
      </w:r>
      <w:r w:rsidR="00292674" w:rsidRPr="00292674">
        <w:rPr>
          <w:rFonts w:ascii="Times New Roman" w:eastAsiaTheme="minorEastAsia" w:hAnsi="Times New Roman" w:cs="Times New Roman"/>
          <w:sz w:val="28"/>
          <w:szCs w:val="28"/>
        </w:rPr>
        <w:t>олю вклада отведений ЭКГ в диагностические классы в 12-отводной глубокой модели</w:t>
      </w:r>
      <w:r w:rsidR="00292674" w:rsidRPr="0029267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CDB064" w14:textId="536D20E4" w:rsidR="00292674" w:rsidRDefault="00292674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0B65933" wp14:editId="063CA11B">
            <wp:extent cx="5731510" cy="4298950"/>
            <wp:effectExtent l="0" t="0" r="2540" b="6350"/>
            <wp:doc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3F97" w14:textId="5F5A97B7" w:rsidR="00292674" w:rsidRDefault="00292674" w:rsidP="002926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2674">
        <w:rPr>
          <w:rFonts w:ascii="Times New Roman" w:hAnsi="Times New Roman" w:cs="Times New Roman"/>
          <w:sz w:val="28"/>
          <w:szCs w:val="28"/>
        </w:rPr>
        <w:t xml:space="preserve">5 </w:t>
      </w:r>
      <w:r w:rsidRPr="00292674">
        <w:rPr>
          <w:rFonts w:ascii="Times New Roman" w:hAnsi="Times New Roman" w:cs="Times New Roman"/>
          <w:sz w:val="28"/>
          <w:szCs w:val="28"/>
        </w:rPr>
        <w:t xml:space="preserve">Интерпретация 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292674">
        <w:rPr>
          <w:rFonts w:ascii="Times New Roman" w:hAnsi="Times New Roman" w:cs="Times New Roman"/>
          <w:sz w:val="28"/>
          <w:szCs w:val="28"/>
        </w:rPr>
        <w:t>путем расчета доли вклада отведений ЭКГ в диагностические классы в 12-отводной глубокой модели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 из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</w:p>
    <w:p w14:paraId="2EC5696A" w14:textId="6A3C4FB7" w:rsidR="00506288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 kNowledge-guided Attention networks</w:t>
      </w:r>
    </w:p>
    <w:p w14:paraId="552A40AF" w14:textId="22407BAA" w:rsidR="00506288" w:rsidRPr="007A7BB2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93B19DD" w14:textId="79A576B9" w:rsidR="007A7BB2" w:rsidRDefault="00086D94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F930E5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свёрточной нейронной сети (1DCNN), состоящую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способная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 w:rsidR="00CF053F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F053F"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 w:rsidR="00CF053F"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05300830" w14:textId="64C8AC23" w:rsidR="00CF053F" w:rsidRDefault="00CF053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180ABC9" wp14:editId="07704CAD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B79" w14:textId="5BC898C2" w:rsidR="004E03CF" w:rsidRPr="004E03CF" w:rsidRDefault="004E03C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6 </w:t>
      </w:r>
      <w:r w:rsidR="003A49D2"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 w:rsidR="00F930E5">
        <w:rPr>
          <w:rFonts w:ascii="Times New Roman" w:hAnsi="Times New Roman" w:cs="Times New Roman"/>
          <w:sz w:val="28"/>
          <w:szCs w:val="28"/>
        </w:rPr>
        <w:t xml:space="preserve"> </w:t>
      </w:r>
      <w:r w:rsidR="00F930E5" w:rsidRPr="004E03C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68013BB4" w14:textId="11916E03" w:rsidR="00292674" w:rsidRPr="00EC7F21" w:rsidRDefault="00F930E5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Pr="00F930E5">
        <w:rPr>
          <w:rFonts w:ascii="Times New Roman" w:hAnsi="Times New Roman" w:cs="Times New Roman"/>
          <w:b/>
          <w:bCs/>
          <w:sz w:val="28"/>
          <w:szCs w:val="28"/>
        </w:rPr>
        <w:t>[2]</w:t>
      </w:r>
      <w:r w:rsidR="00EC7F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D07DFE6" w14:textId="3226C8A7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Pr="00A4042F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Lakkaraju, H. Fooling LIME and SHAP. In Proceedings of the AAAI/ACM Conference on AI, Ethics and Society, New York, NY, USA, 7–9 February 2020; pp. 180–186 </w:t>
      </w:r>
      <w:hyperlink r:id="rId12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090443B0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BiLSTM-Attention Neural Network," in IEEE Access, vol. 7, pp. 109870-109883, 2019. </w:t>
      </w:r>
      <w:hyperlink r:id="rId13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46282DBA" w:rsidR="00DA75C3" w:rsidRPr="00A4042F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1C203C3C" w:rsidR="00C55A0E" w:rsidRPr="00A32759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Bahdanau,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2E02EB5C" w:rsidR="00A4042F" w:rsidRDefault="00A4042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Lapedriza, A.; Oliva, A.; Torralba, A. Learning Deep Features for Discriminative Localization. In Proceedings of the 2016 IEEE Conference on Computer Vision and Pattern Recognition (CVPR), Las Vegas, NV, USA, 27–30 June 2016. </w:t>
      </w:r>
      <w:hyperlink r:id="rId15" w:history="1">
        <w:r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961D7E" w14:textId="49429899" w:rsidR="00E93991" w:rsidRDefault="00E93991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[7]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t>Ayano, Y.M.; Schwenker, F.; Dufera, B.D.; Debelee,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16" w:history="1">
        <w:r w:rsidR="00DC0B58" w:rsidRPr="008F6F3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 w:rsidR="00DC0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E8E82F" w14:textId="4039506E" w:rsid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[8] </w:t>
      </w:r>
      <w:r w:rsidRPr="00BD32E3">
        <w:rPr>
          <w:rFonts w:ascii="Times New Roman" w:hAnsi="Times New Roman" w:cs="Times New Roman"/>
          <w:sz w:val="28"/>
          <w:szCs w:val="28"/>
          <w:lang w:val="en-US"/>
        </w:rPr>
        <w:t>Goodfellow, S.D.; Goodwin, A.; Greer, R.; Laussen, P.C.; Mazwi, M.; Eytan, D. Towards Understanding ECG Rhythm Classification Using Convolutional Neural Networks and Attention Mappings. In Proceedings of the 3rd Machine Learning for Healthcare Conference, Palo Alto, CA, USA, 17–18 August 2018; Volume 85, pp. 83–101.</w:t>
      </w:r>
    </w:p>
    <w:p w14:paraId="44E882AA" w14:textId="05726E1A" w:rsidR="007C0624" w:rsidRDefault="007C0624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[9]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https://www.cell.com/iscience/fulltext/S2589-0042(21)00341-2?ref=https://giter.vip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C7FC49" w14:textId="3F09FCB2" w:rsidR="004E03CF" w:rsidRDefault="004E03CF" w:rsidP="003A65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3CF">
        <w:rPr>
          <w:rFonts w:ascii="Times New Roman" w:hAnsi="Times New Roman" w:cs="Times New Roman"/>
          <w:b/>
          <w:bCs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762FBF2" w14:textId="0F347062" w:rsidR="00F930E5" w:rsidRPr="00F930E5" w:rsidRDefault="00F930E5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[2] </w:t>
      </w:r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Selvaraju RR, Cogswell M, Das A, Vedantam R, Parikh D, Batra D. Grad-CAM: visual explanations from deep networks via gradient-based localization. Int J Comput Vis. 2020;128:336–59.</w:t>
      </w:r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hyperlink r:id="rId18" w:history="1">
        <w:r w:rsidRPr="00F930E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1DD3ED" w14:textId="77777777" w:rsidR="003A654C" w:rsidRPr="00D31004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3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86271929">
    <w:abstractNumId w:val="9"/>
  </w:num>
  <w:num w:numId="2" w16cid:durableId="1723601560">
    <w:abstractNumId w:val="10"/>
  </w:num>
  <w:num w:numId="3" w16cid:durableId="1191382966">
    <w:abstractNumId w:val="2"/>
  </w:num>
  <w:num w:numId="4" w16cid:durableId="2146389765">
    <w:abstractNumId w:val="8"/>
  </w:num>
  <w:num w:numId="5" w16cid:durableId="1719040632">
    <w:abstractNumId w:val="3"/>
  </w:num>
  <w:num w:numId="6" w16cid:durableId="1407994428">
    <w:abstractNumId w:val="4"/>
  </w:num>
  <w:num w:numId="7" w16cid:durableId="545797117">
    <w:abstractNumId w:val="6"/>
  </w:num>
  <w:num w:numId="8" w16cid:durableId="1476991601">
    <w:abstractNumId w:val="5"/>
  </w:num>
  <w:num w:numId="9" w16cid:durableId="1108934662">
    <w:abstractNumId w:val="0"/>
  </w:num>
  <w:num w:numId="10" w16cid:durableId="196161189">
    <w:abstractNumId w:val="7"/>
  </w:num>
  <w:num w:numId="11" w16cid:durableId="4857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23F4A"/>
    <w:rsid w:val="00025BC5"/>
    <w:rsid w:val="00025E12"/>
    <w:rsid w:val="000557AC"/>
    <w:rsid w:val="00086D94"/>
    <w:rsid w:val="000F17CC"/>
    <w:rsid w:val="000F67FA"/>
    <w:rsid w:val="00180C47"/>
    <w:rsid w:val="00184A2F"/>
    <w:rsid w:val="00185E85"/>
    <w:rsid w:val="00194041"/>
    <w:rsid w:val="001A3288"/>
    <w:rsid w:val="001D79D3"/>
    <w:rsid w:val="002076A5"/>
    <w:rsid w:val="00223E8F"/>
    <w:rsid w:val="00245BF7"/>
    <w:rsid w:val="002541E3"/>
    <w:rsid w:val="00292674"/>
    <w:rsid w:val="002A5E18"/>
    <w:rsid w:val="002C0046"/>
    <w:rsid w:val="002C614A"/>
    <w:rsid w:val="002D5600"/>
    <w:rsid w:val="002F5584"/>
    <w:rsid w:val="00342214"/>
    <w:rsid w:val="00345CF5"/>
    <w:rsid w:val="00364C46"/>
    <w:rsid w:val="003A49D2"/>
    <w:rsid w:val="003A654C"/>
    <w:rsid w:val="003B53AE"/>
    <w:rsid w:val="003C35EB"/>
    <w:rsid w:val="003C5B88"/>
    <w:rsid w:val="00405A5A"/>
    <w:rsid w:val="00417CDA"/>
    <w:rsid w:val="00417E9F"/>
    <w:rsid w:val="0045079E"/>
    <w:rsid w:val="00464021"/>
    <w:rsid w:val="0047520F"/>
    <w:rsid w:val="00490A82"/>
    <w:rsid w:val="004947BB"/>
    <w:rsid w:val="004A377D"/>
    <w:rsid w:val="004B113B"/>
    <w:rsid w:val="004C340D"/>
    <w:rsid w:val="004E03CF"/>
    <w:rsid w:val="004E0D66"/>
    <w:rsid w:val="004F4388"/>
    <w:rsid w:val="004F77B3"/>
    <w:rsid w:val="00506288"/>
    <w:rsid w:val="00594532"/>
    <w:rsid w:val="005D774A"/>
    <w:rsid w:val="005E404D"/>
    <w:rsid w:val="00683AA9"/>
    <w:rsid w:val="006A5EC5"/>
    <w:rsid w:val="006C3461"/>
    <w:rsid w:val="006D4883"/>
    <w:rsid w:val="00746F53"/>
    <w:rsid w:val="00787ECD"/>
    <w:rsid w:val="007A3332"/>
    <w:rsid w:val="007A7BB2"/>
    <w:rsid w:val="007B46B9"/>
    <w:rsid w:val="007C0624"/>
    <w:rsid w:val="007D7D52"/>
    <w:rsid w:val="00811519"/>
    <w:rsid w:val="0087122C"/>
    <w:rsid w:val="008F6F39"/>
    <w:rsid w:val="00901B22"/>
    <w:rsid w:val="00993862"/>
    <w:rsid w:val="009C51A5"/>
    <w:rsid w:val="009D1E6B"/>
    <w:rsid w:val="00A07215"/>
    <w:rsid w:val="00A1036C"/>
    <w:rsid w:val="00A1270F"/>
    <w:rsid w:val="00A26798"/>
    <w:rsid w:val="00A32759"/>
    <w:rsid w:val="00A36F74"/>
    <w:rsid w:val="00A4042F"/>
    <w:rsid w:val="00A45569"/>
    <w:rsid w:val="00A55F7C"/>
    <w:rsid w:val="00AA6B8E"/>
    <w:rsid w:val="00AE2A1F"/>
    <w:rsid w:val="00B049F9"/>
    <w:rsid w:val="00B1273D"/>
    <w:rsid w:val="00B72AF3"/>
    <w:rsid w:val="00B74FEF"/>
    <w:rsid w:val="00B75D51"/>
    <w:rsid w:val="00B769EB"/>
    <w:rsid w:val="00B819C7"/>
    <w:rsid w:val="00BD32E3"/>
    <w:rsid w:val="00BD3376"/>
    <w:rsid w:val="00C55A0E"/>
    <w:rsid w:val="00C8200D"/>
    <w:rsid w:val="00CC3E7D"/>
    <w:rsid w:val="00CF053F"/>
    <w:rsid w:val="00D03CB6"/>
    <w:rsid w:val="00D06D46"/>
    <w:rsid w:val="00D31004"/>
    <w:rsid w:val="00D60296"/>
    <w:rsid w:val="00D66B3A"/>
    <w:rsid w:val="00D720D3"/>
    <w:rsid w:val="00D85732"/>
    <w:rsid w:val="00DA75C3"/>
    <w:rsid w:val="00DC0B58"/>
    <w:rsid w:val="00DC7CAD"/>
    <w:rsid w:val="00DF4C50"/>
    <w:rsid w:val="00DF517A"/>
    <w:rsid w:val="00E002CC"/>
    <w:rsid w:val="00E00E43"/>
    <w:rsid w:val="00E2750F"/>
    <w:rsid w:val="00E3642B"/>
    <w:rsid w:val="00E7140A"/>
    <w:rsid w:val="00E93991"/>
    <w:rsid w:val="00EC1376"/>
    <w:rsid w:val="00EC299B"/>
    <w:rsid w:val="00EC7F21"/>
    <w:rsid w:val="00EF5ADF"/>
    <w:rsid w:val="00EF728E"/>
    <w:rsid w:val="00F57B20"/>
    <w:rsid w:val="00F930E5"/>
    <w:rsid w:val="00FA175B"/>
    <w:rsid w:val="00FA26B6"/>
    <w:rsid w:val="00FC3B5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3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30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92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572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eeexplore.ieee.org/document/8790681/references" TargetMode="External"/><Relationship Id="rId18" Type="http://schemas.openxmlformats.org/officeDocument/2006/relationships/hyperlink" Target="https://link.springer.com/article/10.1007/S11263-019-01228-7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doi.org/10.1145/3375627.3375830" TargetMode="External"/><Relationship Id="rId17" Type="http://schemas.openxmlformats.org/officeDocument/2006/relationships/hyperlink" Target="https://www.cell.com/iscience/fulltext/S2589-0042(21)00341-2?ref=https://giter.v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3390/diagnostics1301011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proceedings.neurips.cc/paper/2017/file/8a20a8621978632d76c43dfd28b67767-Paper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7780688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ijcai.org/proceedings/2019/8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12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99</cp:revision>
  <dcterms:created xsi:type="dcterms:W3CDTF">2025-04-26T15:02:00Z</dcterms:created>
  <dcterms:modified xsi:type="dcterms:W3CDTF">2025-04-29T12:52:00Z</dcterms:modified>
</cp:coreProperties>
</file>