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CB247" w14:textId="249E2463" w:rsidR="00417E9F" w:rsidRPr="003A654C" w:rsidRDefault="003A654C" w:rsidP="003A65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t>3. Интерпретируемое машинное обучение</w:t>
      </w:r>
    </w:p>
    <w:p w14:paraId="69521147" w14:textId="0C6DC4EF" w:rsidR="003A654C" w:rsidRDefault="003A654C" w:rsidP="003A654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654C">
        <w:rPr>
          <w:rFonts w:ascii="Times New Roman" w:hAnsi="Times New Roman" w:cs="Times New Roman"/>
          <w:b/>
          <w:bCs/>
          <w:sz w:val="28"/>
          <w:szCs w:val="28"/>
          <w:lang w:val="en-US"/>
        </w:rPr>
        <w:t>3.1 SHapley Additive exPlanations</w:t>
      </w:r>
    </w:p>
    <w:p w14:paraId="46FA71B2" w14:textId="6255AB7B" w:rsidR="00AE2A1F" w:rsidRDefault="00AA6B8E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анализе ЭКГ-сигналов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AE2A1F">
        <w:rPr>
          <w:rFonts w:ascii="Times New Roman" w:hAnsi="Times New Roman" w:cs="Times New Roman"/>
          <w:sz w:val="28"/>
          <w:szCs w:val="28"/>
        </w:rPr>
        <w:t>ля сложных моделей глубинного обучения объяснение их работы представляет из себя сложную задачу из-за высокой сложности. Поэтому используется объясняющая модель – интерпретируемая аппроксимация исходной модели.</w:t>
      </w:r>
    </w:p>
    <w:p w14:paraId="1D99CED6" w14:textId="27214709" w:rsidR="007B46B9" w:rsidRPr="007B46B9" w:rsidRDefault="00B049F9" w:rsidP="00BD33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>:=(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 </w:t>
      </w:r>
      <w:r w:rsidR="007B46B9" w:rsidRPr="007B46B9">
        <w:rPr>
          <w:rFonts w:ascii="Times New Roman" w:hAnsi="Times New Roman" w:cs="Times New Roman"/>
          <w:sz w:val="28"/>
          <w:szCs w:val="28"/>
        </w:rPr>
        <w:t>[1]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известно определение объясняющей модели </w:t>
      </w:r>
      <w:r w:rsidR="007B46B9">
        <w:rPr>
          <w:rFonts w:ascii="Times New Roman" w:hAnsi="Times New Roman" w:cs="Times New Roman"/>
          <w:sz w:val="28"/>
          <w:szCs w:val="28"/>
          <w:lang w:val="en-US"/>
        </w:rPr>
        <w:t>g:</w:t>
      </w:r>
    </w:p>
    <w:p w14:paraId="5A0B90CC" w14:textId="71CB416C" w:rsidR="00B049F9" w:rsidRPr="00BD3376" w:rsidRDefault="00B049F9" w:rsidP="00BD3376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C79474E" w14:textId="13B141EC" w:rsidR="000F17CC" w:rsidRDefault="00B049F9" w:rsidP="003A654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Pr="00B049F9">
        <w:rPr>
          <w:rFonts w:ascii="Times New Roman" w:hAnsi="Times New Roman" w:cs="Times New Roman"/>
          <w:sz w:val="28"/>
          <w:szCs w:val="28"/>
        </w:rPr>
        <w:t>бинарное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упрощённых </w:t>
      </w:r>
      <w:r w:rsidR="004E0D66">
        <w:rPr>
          <w:rFonts w:ascii="Times New Roman" w:hAnsi="Times New Roman" w:cs="Times New Roman"/>
          <w:sz w:val="28"/>
          <w:szCs w:val="28"/>
        </w:rPr>
        <w:t xml:space="preserve">выходных </w:t>
      </w:r>
      <w:r>
        <w:rPr>
          <w:rFonts w:ascii="Times New Roman" w:hAnsi="Times New Roman" w:cs="Times New Roman"/>
          <w:sz w:val="28"/>
          <w:szCs w:val="28"/>
        </w:rPr>
        <w:t xml:space="preserve">признаков, </w:t>
      </w:r>
      <w:r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49F9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F080DD" w14:textId="3B32047B" w:rsidR="007B46B9" w:rsidRPr="000557AC" w:rsidRDefault="007B46B9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="000557AC"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>способны объяснить предсказание модели через суммирование эффектов отдельных признаков , обеспечивая простоту и интерпретируемость объяснения.</w:t>
      </w:r>
      <w:r w:rsidR="00AA6B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B8E">
        <w:rPr>
          <w:rFonts w:ascii="Times New Roman" w:hAnsi="Times New Roman" w:cs="Times New Roman"/>
          <w:sz w:val="28"/>
          <w:szCs w:val="28"/>
        </w:rPr>
        <w:t xml:space="preserve">Одним из наиболее известных и часто используемых в моделях является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 w:rsidR="00AA6B8E">
        <w:rPr>
          <w:rFonts w:ascii="Times New Roman" w:hAnsi="Times New Roman" w:cs="Times New Roman"/>
          <w:sz w:val="28"/>
          <w:szCs w:val="28"/>
        </w:rPr>
        <w:t xml:space="preserve"> (</w:t>
      </w:r>
      <w:r w:rsidR="00AA6B8E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AA6B8E">
        <w:rPr>
          <w:rFonts w:ascii="Times New Roman" w:hAnsi="Times New Roman" w:cs="Times New Roman"/>
          <w:sz w:val="28"/>
          <w:szCs w:val="28"/>
        </w:rPr>
        <w:t>)</w:t>
      </w:r>
      <w:r w:rsidR="00AA6B8E" w:rsidRPr="00594532">
        <w:rPr>
          <w:rFonts w:ascii="Times New Roman" w:hAnsi="Times New Roman" w:cs="Times New Roman"/>
          <w:sz w:val="28"/>
          <w:szCs w:val="28"/>
        </w:rPr>
        <w:t>.</w:t>
      </w:r>
    </w:p>
    <w:p w14:paraId="400EC700" w14:textId="6C391BA0" w:rsidR="003C5B88" w:rsidRPr="007D7D52" w:rsidRDefault="00594532" w:rsidP="003A654C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берёт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своё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="003C5B88" w:rsidRPr="003C5B88">
        <w:rPr>
          <w:rFonts w:ascii="Times New Roman" w:hAnsi="Times New Roman" w:cs="Times New Roman"/>
          <w:sz w:val="28"/>
          <w:szCs w:val="28"/>
        </w:rPr>
        <w:t xml:space="preserve">: </w:t>
      </w:r>
      <w:r w:rsidR="003C5B88" w:rsidRPr="003C5B88">
        <w:rPr>
          <w:rFonts w:ascii="Times New Roman" w:hAnsi="Times New Roman" w:cs="Times New Roman"/>
          <w:sz w:val="28"/>
          <w:szCs w:val="28"/>
        </w:rPr>
        <w:t>значения Шепли объясняют предельный вклад каждого игрока в работу команды. </w:t>
      </w:r>
      <w:r w:rsidR="007D7D52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7D7D52" w:rsidRPr="007D7D52">
        <w:rPr>
          <w:rFonts w:ascii="Cambria Math" w:hAnsi="Cambria Math" w:cs="Cambria Math"/>
          <w:sz w:val="28"/>
          <w:szCs w:val="28"/>
        </w:rPr>
        <w:t>𝑆⊆𝐹</w:t>
      </w:r>
      <w:r w:rsidR="007D7D52">
        <w:rPr>
          <w:rFonts w:ascii="Times New Roman" w:hAnsi="Times New Roman" w:cs="Times New Roman"/>
          <w:sz w:val="28"/>
          <w:szCs w:val="28"/>
        </w:rPr>
        <w:t>, г</w:t>
      </w:r>
      <w:r w:rsidR="007D7D52" w:rsidRPr="007D7D52">
        <w:rPr>
          <w:rFonts w:ascii="Times New Roman" w:hAnsi="Times New Roman" w:cs="Times New Roman"/>
          <w:sz w:val="28"/>
          <w:szCs w:val="28"/>
        </w:rPr>
        <w:t>де </w:t>
      </w:r>
      <w:r w:rsidR="007D7D52" w:rsidRPr="007D7D52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="007D7D52" w:rsidRPr="007D7D52">
        <w:rPr>
          <w:rFonts w:ascii="Times New Roman" w:hAnsi="Times New Roman" w:cs="Times New Roman"/>
          <w:sz w:val="28"/>
          <w:szCs w:val="28"/>
        </w:rPr>
        <w:t> является подмножеством всех функций</w:t>
      </w:r>
      <w:r w:rsidR="007D7D52">
        <w:rPr>
          <w:rFonts w:ascii="Times New Roman" w:hAnsi="Times New Roman" w:cs="Times New Roman"/>
          <w:sz w:val="28"/>
          <w:szCs w:val="28"/>
        </w:rPr>
        <w:t xml:space="preserve"> </w:t>
      </w:r>
      <w:r w:rsidR="007D7D52" w:rsidRPr="007D7D52">
        <w:rPr>
          <w:rFonts w:ascii="Cambria Math" w:hAnsi="Cambria Math" w:cs="Cambria Math"/>
          <w:sz w:val="28"/>
          <w:szCs w:val="28"/>
        </w:rPr>
        <w:t>𝐹</w:t>
      </w:r>
      <w:r w:rsidR="007D7D52" w:rsidRPr="007D7D52">
        <w:rPr>
          <w:rFonts w:ascii="Times New Roman" w:hAnsi="Times New Roman" w:cs="Times New Roman"/>
          <w:sz w:val="28"/>
          <w:szCs w:val="28"/>
        </w:rPr>
        <w:t>={</w:t>
      </w:r>
      <w:r w:rsidR="007D7D52" w:rsidRPr="007D7D52">
        <w:rPr>
          <w:rFonts w:ascii="Cambria Math" w:hAnsi="Cambria Math" w:cs="Cambria Math"/>
          <w:sz w:val="28"/>
          <w:szCs w:val="28"/>
        </w:rPr>
        <w:t>𝑋</w:t>
      </w:r>
      <w:r w:rsidR="007D7D52"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7D52" w:rsidRPr="007D7D52">
        <w:rPr>
          <w:rFonts w:ascii="Times New Roman" w:hAnsi="Times New Roman" w:cs="Times New Roman"/>
          <w:sz w:val="28"/>
          <w:szCs w:val="28"/>
        </w:rPr>
        <w:t>,</w:t>
      </w:r>
      <w:r w:rsidR="007D7D52" w:rsidRPr="007D7D52">
        <w:rPr>
          <w:rFonts w:ascii="Cambria Math" w:hAnsi="Cambria Math" w:cs="Cambria Math"/>
          <w:sz w:val="28"/>
          <w:szCs w:val="28"/>
        </w:rPr>
        <w:t>𝑋</w:t>
      </w:r>
      <w:r w:rsidR="007D7D52"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7D52" w:rsidRPr="007D7D52">
        <w:rPr>
          <w:rFonts w:ascii="Times New Roman" w:hAnsi="Times New Roman" w:cs="Times New Roman"/>
          <w:sz w:val="28"/>
          <w:szCs w:val="28"/>
        </w:rPr>
        <w:t>,…,</w:t>
      </w:r>
      <w:r w:rsidR="007D7D52" w:rsidRPr="007D7D52">
        <w:rPr>
          <w:rFonts w:ascii="Cambria Math" w:hAnsi="Cambria Math" w:cs="Cambria Math"/>
          <w:sz w:val="28"/>
          <w:szCs w:val="28"/>
        </w:rPr>
        <w:t>𝑋</w:t>
      </w:r>
      <w:r w:rsidR="007D7D52"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7D7D52" w:rsidRPr="007D7D52">
        <w:rPr>
          <w:rFonts w:ascii="Times New Roman" w:hAnsi="Times New Roman" w:cs="Times New Roman"/>
          <w:sz w:val="28"/>
          <w:szCs w:val="28"/>
        </w:rPr>
        <w:t>,…,</w:t>
      </w:r>
      <w:r w:rsidR="007D7D52" w:rsidRPr="007D7D52">
        <w:rPr>
          <w:rFonts w:ascii="Cambria Math" w:hAnsi="Cambria Math" w:cs="Cambria Math"/>
          <w:sz w:val="28"/>
          <w:szCs w:val="28"/>
        </w:rPr>
        <w:t>𝑋</w:t>
      </w:r>
      <w:r w:rsidR="007D7D52"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="007D7D52" w:rsidRPr="007D7D52">
        <w:rPr>
          <w:rFonts w:ascii="Times New Roman" w:hAnsi="Times New Roman" w:cs="Times New Roman"/>
          <w:sz w:val="28"/>
          <w:szCs w:val="28"/>
        </w:rPr>
        <w:t>}</w:t>
      </w:r>
      <w:r w:rsidR="007D7D52">
        <w:rPr>
          <w:rFonts w:ascii="Times New Roman" w:hAnsi="Times New Roman" w:cs="Times New Roman"/>
          <w:sz w:val="28"/>
          <w:szCs w:val="28"/>
        </w:rPr>
        <w:t xml:space="preserve">, где </w:t>
      </w:r>
      <w:r w:rsidR="007D7D52" w:rsidRPr="007D7D52">
        <w:rPr>
          <w:rFonts w:ascii="Cambria Math" w:hAnsi="Cambria Math" w:cs="Cambria Math"/>
          <w:sz w:val="28"/>
          <w:szCs w:val="28"/>
        </w:rPr>
        <w:t>𝑋</w:t>
      </w:r>
      <w:r w:rsidR="007D7D52"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7D7D52">
        <w:rPr>
          <w:rFonts w:ascii="Times New Roman" w:hAnsi="Times New Roman" w:cs="Times New Roman"/>
          <w:sz w:val="28"/>
          <w:szCs w:val="28"/>
        </w:rPr>
        <w:t xml:space="preserve"> – признак в </w:t>
      </w:r>
      <w:r w:rsidR="007D7D5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D7D52" w:rsidRPr="007D7D52">
        <w:rPr>
          <w:rFonts w:ascii="Times New Roman" w:hAnsi="Times New Roman" w:cs="Times New Roman"/>
          <w:sz w:val="28"/>
          <w:szCs w:val="28"/>
        </w:rPr>
        <w:t>-</w:t>
      </w:r>
      <w:r w:rsidR="007D7D52"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="007D7D52" w:rsidRPr="007D7D52">
        <w:rPr>
          <w:rFonts w:ascii="Times New Roman" w:hAnsi="Times New Roman" w:cs="Times New Roman"/>
          <w:sz w:val="28"/>
          <w:szCs w:val="28"/>
        </w:rPr>
        <w:t>N×M</w:t>
      </w:r>
      <w:r w:rsidR="007D7D52">
        <w:rPr>
          <w:rFonts w:ascii="Times New Roman" w:hAnsi="Times New Roman" w:cs="Times New Roman"/>
          <w:sz w:val="28"/>
          <w:szCs w:val="28"/>
        </w:rPr>
        <w:t xml:space="preserve">. </w:t>
      </w:r>
      <w:r w:rsidR="007D7D52"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="007D7D52" w:rsidRPr="004947BB">
        <w:rPr>
          <w:rFonts w:ascii="Cambria Math" w:hAnsi="Cambria Math" w:cs="Cambria Math"/>
          <w:sz w:val="28"/>
          <w:szCs w:val="28"/>
        </w:rPr>
        <w:t>𝑋</w:t>
      </w:r>
      <w:r w:rsidR="007D7D52"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7D7D52"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D7D52" w:rsidRPr="004947BB">
        <w:rPr>
          <w:rFonts w:ascii="Times New Roman" w:hAnsi="Times New Roman" w:cs="Times New Roman"/>
          <w:sz w:val="28"/>
          <w:szCs w:val="28"/>
        </w:rPr>
        <w:t xml:space="preserve">в вывод модели оценивается двумя способами </w:t>
      </w:r>
      <w:r w:rsidR="007D7D52" w:rsidRPr="004947BB">
        <w:rPr>
          <w:rFonts w:ascii="Times New Roman" w:hAnsi="Times New Roman" w:cs="Times New Roman"/>
          <w:sz w:val="28"/>
          <w:szCs w:val="28"/>
        </w:rPr>
        <w:t>[1]</w:t>
      </w:r>
      <w:r w:rsidR="007D7D52" w:rsidRPr="004947BB">
        <w:rPr>
          <w:rFonts w:ascii="Times New Roman" w:hAnsi="Times New Roman" w:cs="Times New Roman"/>
          <w:sz w:val="28"/>
          <w:szCs w:val="28"/>
        </w:rPr>
        <w:t>:</w:t>
      </w:r>
    </w:p>
    <w:p w14:paraId="64A24867" w14:textId="489941EA" w:rsidR="007D7D52" w:rsidRDefault="007D7D52" w:rsidP="00B72AF3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AF3">
        <w:rPr>
          <w:rFonts w:ascii="Times New Roman" w:hAnsi="Times New Roman" w:cs="Times New Roman"/>
          <w:sz w:val="28"/>
          <w:szCs w:val="28"/>
        </w:rPr>
        <w:t>Сначала модель обучается с использованием признака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 с использованием признака </w:t>
      </w:r>
      <w:r w:rsidR="004947BB" w:rsidRPr="00B72AF3">
        <w:rPr>
          <w:rFonts w:ascii="Cambria Math" w:hAnsi="Cambria Math" w:cs="Cambria Math"/>
          <w:sz w:val="28"/>
          <w:szCs w:val="28"/>
        </w:rPr>
        <w:t>𝑋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4947BB"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, </w:t>
      </w:r>
      <w:r w:rsidR="004947BB" w:rsidRPr="00B72AF3">
        <w:rPr>
          <w:rFonts w:ascii="Times New Roman" w:hAnsi="Times New Roman" w:cs="Times New Roman"/>
          <w:sz w:val="28"/>
          <w:szCs w:val="28"/>
        </w:rPr>
        <w:t>зате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м модель переобучается без признака и обозначается как 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="004947BB" w:rsidRPr="00B72AF3">
        <w:rPr>
          <w:rFonts w:ascii="Times New Roman" w:hAnsi="Times New Roman" w:cs="Times New Roman"/>
          <w:sz w:val="28"/>
          <w:szCs w:val="28"/>
        </w:rPr>
        <w:t>.</w:t>
      </w:r>
    </w:p>
    <w:p w14:paraId="68DADCC4" w14:textId="2642D098" w:rsidR="00B72AF3" w:rsidRDefault="00B72AF3" w:rsidP="00B72AF3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72AF3">
        <w:rPr>
          <w:rFonts w:ascii="Cambria Math" w:hAnsi="Cambria Math" w:cs="Cambria Math"/>
          <w:sz w:val="28"/>
          <w:szCs w:val="28"/>
        </w:rPr>
        <w:t>𝑓</w:t>
      </w:r>
      <w:r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B72AF3">
        <w:rPr>
          <w:rFonts w:ascii="Times New Roman" w:hAnsi="Times New Roman" w:cs="Times New Roman"/>
          <w:sz w:val="28"/>
          <w:szCs w:val="28"/>
        </w:rPr>
        <w:t>.</w:t>
      </w:r>
    </w:p>
    <w:p w14:paraId="2984226B" w14:textId="77777777" w:rsidR="000F17CC" w:rsidRPr="000F17CC" w:rsidRDefault="000F17CC" w:rsidP="000F1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07DFE6" w14:textId="7F82EC20" w:rsidR="000557AC" w:rsidRPr="003C5B88" w:rsidRDefault="000557A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4E0D6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A23DA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D1E20E" w14:textId="318D37CC" w:rsidR="0087122C" w:rsidRPr="0087122C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0D66" w:rsidRPr="004E0D6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87122C" w:rsidRPr="0087122C">
        <w:rPr>
          <w:rFonts w:ascii="Times New Roman" w:hAnsi="Times New Roman" w:cs="Times New Roman"/>
          <w:sz w:val="28"/>
          <w:szCs w:val="28"/>
          <w:lang w:val="en-US"/>
        </w:rPr>
        <w:t>Ayano, Y.M.; Schwenker, F.; Dufera, B.D.; Debelee, T.G. Interpretable Machine Learning Techniques in ECG-Based Heart Disease Classification: A Systematic Review. </w:t>
      </w:r>
      <w:r w:rsidR="0087122C" w:rsidRPr="0087122C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="0087122C" w:rsidRPr="0087122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7122C" w:rsidRPr="0087122C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="0087122C" w:rsidRPr="0087122C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="0087122C" w:rsidRPr="0087122C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="0087122C"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6" w:history="1">
        <w:r w:rsidR="0087122C" w:rsidRPr="004E0D6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  <w:r w:rsidR="00871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34F48D" w14:textId="77777777" w:rsidR="003C5B88" w:rsidRPr="00AA6B8E" w:rsidRDefault="003C5B88" w:rsidP="003C5B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анализе ЭКГ-сигналов моделям глубинного обучения в большинстве ситуаций сложно интерпретировать напрямую. Поэтому используется подход на основе релевантности признаков. Согласно </w:t>
      </w:r>
      <w:r w:rsidRPr="008712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7122C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с математической</w:t>
      </w:r>
      <w:r w:rsidRPr="00871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точки</w:t>
      </w:r>
      <w:r w:rsidRPr="00871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зрения</w:t>
      </w:r>
      <w:r w:rsidRPr="008712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871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оценить</w:t>
      </w:r>
      <w:r w:rsidRPr="00871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</w:t>
      </w:r>
      <w:r w:rsidRPr="00871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признака в результат </w:t>
      </w:r>
      <w:r w:rsidRPr="0087122C">
        <w:rPr>
          <w:rFonts w:ascii="Times New Roman" w:hAnsi="Times New Roman" w:cs="Times New Roman"/>
          <w:sz w:val="28"/>
          <w:szCs w:val="28"/>
        </w:rPr>
        <w:t>признака в результаты модели с точки зрения поведения модели на входе и выходе. Таким образом, при объяснении на основе релевантности признаков объяснение количественно оценивается с использованием входных признаков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>:=(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 и</w:t>
      </w:r>
      <w:r w:rsidRPr="00490A82">
        <w:rPr>
          <w:rFonts w:ascii="Times New Roman" w:hAnsi="Times New Roman" w:cs="Times New Roman"/>
          <w:sz w:val="28"/>
          <w:szCs w:val="28"/>
        </w:rPr>
        <w:t> степень, в которой данная входная функция </w:t>
      </w:r>
      <w:bookmarkStart w:id="0" w:name="_Hlk196584963"/>
      <w:r w:rsidRPr="00490A82">
        <w:rPr>
          <w:rFonts w:ascii="Cambria Math" w:hAnsi="Cambria Math" w:cs="Cambria Math"/>
          <w:sz w:val="28"/>
          <w:szCs w:val="28"/>
        </w:rPr>
        <w:t>𝑥</w:t>
      </w:r>
      <w:bookmarkEnd w:id="0"/>
      <w:r w:rsidRPr="00490A82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490A82">
        <w:rPr>
          <w:rFonts w:ascii="Times New Roman" w:hAnsi="Times New Roman" w:cs="Times New Roman"/>
          <w:sz w:val="28"/>
          <w:szCs w:val="28"/>
        </w:rPr>
        <w:t> вносит свой вклад в результат работы модел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90A82">
        <w:rPr>
          <w:rFonts w:ascii="Times New Roman" w:hAnsi="Times New Roman" w:cs="Times New Roman"/>
          <w:sz w:val="28"/>
          <w:szCs w:val="28"/>
        </w:rPr>
        <w:t xml:space="preserve"> </w:t>
      </w:r>
      <w:r w:rsidRPr="00490A82">
        <w:rPr>
          <w:rFonts w:ascii="Times New Roman" w:hAnsi="Times New Roman" w:cs="Times New Roman"/>
          <w:sz w:val="28"/>
          <w:szCs w:val="28"/>
        </w:rPr>
        <w:br/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90A82">
        <w:rPr>
          <w:rFonts w:ascii="Times New Roman" w:hAnsi="Times New Roman" w:cs="Times New Roman"/>
          <w:sz w:val="28"/>
          <w:szCs w:val="28"/>
        </w:rPr>
        <w:t>,…,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490A8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Одним из наиболее известных и часто используемых в моделях является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4532">
        <w:rPr>
          <w:rFonts w:ascii="Times New Roman" w:hAnsi="Times New Roman" w:cs="Times New Roman"/>
          <w:sz w:val="28"/>
          <w:szCs w:val="28"/>
        </w:rPr>
        <w:t>.</w:t>
      </w:r>
    </w:p>
    <w:p w14:paraId="5D1DD3ED" w14:textId="77777777" w:rsidR="003A654C" w:rsidRPr="003C5B88" w:rsidRDefault="003A654C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654C" w:rsidRPr="003C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8498E"/>
    <w:multiLevelType w:val="hybridMultilevel"/>
    <w:tmpl w:val="2AF8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71929">
    <w:abstractNumId w:val="0"/>
  </w:num>
  <w:num w:numId="2" w16cid:durableId="1723601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8"/>
    <w:rsid w:val="000557AC"/>
    <w:rsid w:val="000F17CC"/>
    <w:rsid w:val="003A654C"/>
    <w:rsid w:val="003C5B88"/>
    <w:rsid w:val="00417E9F"/>
    <w:rsid w:val="00490A82"/>
    <w:rsid w:val="004947BB"/>
    <w:rsid w:val="004B113B"/>
    <w:rsid w:val="004E0D66"/>
    <w:rsid w:val="004F4388"/>
    <w:rsid w:val="004F77B3"/>
    <w:rsid w:val="00594532"/>
    <w:rsid w:val="007B46B9"/>
    <w:rsid w:val="007D7D52"/>
    <w:rsid w:val="00811519"/>
    <w:rsid w:val="0087122C"/>
    <w:rsid w:val="00AA6B8E"/>
    <w:rsid w:val="00AE2A1F"/>
    <w:rsid w:val="00B049F9"/>
    <w:rsid w:val="00B72AF3"/>
    <w:rsid w:val="00BD3376"/>
    <w:rsid w:val="00D03CB6"/>
    <w:rsid w:val="00D60296"/>
    <w:rsid w:val="00E7140A"/>
    <w:rsid w:val="00FA26B6"/>
    <w:rsid w:val="00F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657"/>
  <w15:chartTrackingRefBased/>
  <w15:docId w15:val="{32E65C3E-4D21-4E81-90AB-66DB042E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4C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43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43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43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43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43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4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43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43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43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43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438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151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1519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B049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diagnostics13010111" TargetMode="External"/><Relationship Id="rId5" Type="http://schemas.openxmlformats.org/officeDocument/2006/relationships/hyperlink" Target="https://proceedings.neurips.cc/paper/2017/file/8a20a8621978632d76c43dfd28b67767-Pap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15</cp:revision>
  <dcterms:created xsi:type="dcterms:W3CDTF">2025-04-26T15:02:00Z</dcterms:created>
  <dcterms:modified xsi:type="dcterms:W3CDTF">2025-04-26T17:45:00Z</dcterms:modified>
</cp:coreProperties>
</file>