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Jiahuan</w:t>
      </w:r>
      <w:r>
        <w:t xml:space="preserve"> </w:t>
      </w:r>
      <w:r>
        <w:t xml:space="preserve">Li</w:t>
      </w:r>
    </w:p>
    <w:p>
      <w:pPr>
        <w:pStyle w:val="Date"/>
      </w:pPr>
      <w:r>
        <w:t xml:space="preserve">Spring</w:t>
      </w:r>
      <w:r>
        <w:t xml:space="preserve"> </w:t>
      </w:r>
      <w:r>
        <w:t xml:space="preserve">2023</w:t>
      </w:r>
    </w:p>
    <w:bookmarkStart w:id="20" w:name="overview"/>
    <w:p>
      <w:pPr>
        <w:pStyle w:val="Heading2"/>
      </w:pPr>
      <w:r>
        <w:t xml:space="preserve">OVERVIEW</w:t>
      </w:r>
    </w:p>
    <w:p>
      <w:pPr>
        <w:pStyle w:val="FirstParagraph"/>
      </w:pPr>
      <w:r>
        <w:t xml:space="preserve">This exercise accompanies the lessons in Environmental Data Analytics on Data Exploration.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&lt;FirstLast&gt;_A03_DataExploration.Rmd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Assign a useful</w:t>
      </w:r>
      <w:r>
        <w:t xml:space="preserve"> </w:t>
      </w:r>
      <w:r>
        <w:rPr>
          <w:bCs/>
          <w:b/>
        </w:rPr>
        <w:t xml:space="preserve">name to each code chunk</w:t>
      </w:r>
      <w:r>
        <w:t xml:space="preserve"> </w:t>
      </w:r>
      <w:r>
        <w:t xml:space="preserve">and include ample</w:t>
      </w:r>
      <w:r>
        <w:t xml:space="preserve"> </w:t>
      </w:r>
      <w:r>
        <w:rPr>
          <w:bCs/>
          <w:b/>
        </w:rPr>
        <w:t xml:space="preserve">comments</w:t>
      </w:r>
      <w:r>
        <w:t xml:space="preserve"> </w:t>
      </w:r>
      <w:r>
        <w:t xml:space="preserve">with your code.</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w:t>
      </w:r>
    </w:p>
    <w:p>
      <w:pPr>
        <w:pStyle w:val="FirstParagraph"/>
      </w:pPr>
      <w:r>
        <w:rPr>
          <w:bCs/>
          <w:b/>
        </w:rPr>
        <w:t xml:space="preserve">TIP</w:t>
      </w:r>
      <w:r>
        <w:t xml:space="preserve">: If your code extends past the page when knit, tidy your code by manually inserting line breaks.</w:t>
      </w:r>
    </w:p>
    <w:p>
      <w:pPr>
        <w:pStyle w:val="BodyText"/>
      </w:pPr>
      <w:r>
        <w:rPr>
          <w:bCs/>
          <w:b/>
        </w:rPr>
        <w:t xml:space="preserve">TIP</w:t>
      </w:r>
      <w:r>
        <w:t xml:space="preserve">: If your code fails to knit, check that no</w:t>
      </w:r>
      <w:r>
        <w:t xml:space="preserve"> </w:t>
      </w:r>
      <w:r>
        <w:rPr>
          <w:rStyle w:val="VerbatimChar"/>
        </w:rPr>
        <w:t xml:space="preserve">install.packages()</w:t>
      </w:r>
      <w:r>
        <w:t xml:space="preserve"> </w:t>
      </w:r>
      <w:r>
        <w:t xml:space="preserve">or</w:t>
      </w:r>
      <w:r>
        <w:t xml:space="preserve"> </w:t>
      </w:r>
      <w:r>
        <w:rPr>
          <w:rStyle w:val="VerbatimChar"/>
        </w:rPr>
        <w:t xml:space="preserve">View()</w:t>
      </w:r>
      <w:r>
        <w:t xml:space="preserve"> </w:t>
      </w:r>
      <w:r>
        <w:t xml:space="preserve">commands exist in your code.</w:t>
      </w:r>
    </w:p>
    <w:p>
      <w:r>
        <w:pict>
          <v:rect style="width:0;height:1.5pt" o:hralign="center" o:hrstd="t" o:hr="t"/>
        </w:pict>
      </w:r>
    </w:p>
    <w:bookmarkEnd w:id="21"/>
    <w:bookmarkStart w:id="22" w:name="set-up-your-r-session"/>
    <w:p>
      <w:pPr>
        <w:pStyle w:val="Heading2"/>
      </w:pPr>
      <w:r>
        <w:t xml:space="preserve">Set up your R session</w:t>
      </w:r>
    </w:p>
    <w:p>
      <w:pPr>
        <w:numPr>
          <w:ilvl w:val="0"/>
          <w:numId w:val="1002"/>
        </w:numPr>
        <w:pStyle w:val="Compact"/>
      </w:pPr>
      <w:r>
        <w:t xml:space="preserve">Check your working directory, load necessary packages (tidyverse, lubridate),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 Be sure to include the subcommand to read strings in as factors.</w:t>
      </w:r>
    </w:p>
    <w:p>
      <w:pPr>
        <w:pStyle w:val="SourceCode"/>
      </w:pPr>
      <w:r>
        <w:rPr>
          <w:rStyle w:val="CommentTok"/>
        </w:rPr>
        <w:t xml:space="preserve"># install.packages("tidyverse")</w:t>
      </w:r>
      <w:r>
        <w:br/>
      </w:r>
      <w:r>
        <w:rPr>
          <w:rStyle w:val="CommentTok"/>
        </w:rPr>
        <w:t xml:space="preserve"># install.packages("lubridate")</w:t>
      </w:r>
      <w:r>
        <w:br/>
      </w:r>
      <w:r>
        <w:br/>
      </w:r>
      <w:r>
        <w:rPr>
          <w:rStyle w:val="CommentTok"/>
        </w:rPr>
        <w:t xml:space="preserve"># check directory</w:t>
      </w:r>
      <w:r>
        <w:br/>
      </w:r>
      <w:r>
        <w:rPr>
          <w:rStyle w:val="FunctionTok"/>
        </w:rPr>
        <w:t xml:space="preserve">getwd</w:t>
      </w:r>
      <w:r>
        <w:rPr>
          <w:rStyle w:val="NormalTok"/>
        </w:rPr>
        <w:t xml:space="preserve">()</w:t>
      </w:r>
    </w:p>
    <w:p>
      <w:pPr>
        <w:pStyle w:val="SourceCode"/>
      </w:pPr>
      <w:r>
        <w:rPr>
          <w:rStyle w:val="VerbatimChar"/>
        </w:rPr>
        <w:t xml:space="preserve">## [1] "d:/Users/Lijh/Desktop/872 R &amp; data analytics/ENV872"</w:t>
      </w:r>
    </w:p>
    <w:p>
      <w:pPr>
        <w:pStyle w:val="SourceCode"/>
      </w:pPr>
      <w:r>
        <w:rPr>
          <w:rStyle w:val="CommentTok"/>
        </w:rPr>
        <w:t xml:space="preserve"># upload datasets</w:t>
      </w:r>
      <w:r>
        <w:br/>
      </w:r>
      <w:r>
        <w:rPr>
          <w:rStyle w:val="NormalTok"/>
        </w:rPr>
        <w:t xml:space="preserve">Neonics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"Data/Raw/ECOTOX_Neonicotinoids_Insects_raw.csv"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"Data/Raw/NEON_NIWO_Litter_massdata_2018-08_raw.csv"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2"/>
    <w:bookmarkStart w:id="23" w:name="learn-about-your-system"/>
    <w:p>
      <w:pPr>
        <w:pStyle w:val="Heading2"/>
      </w:pPr>
      <w:r>
        <w:t xml:space="preserve">Learn about your system</w:t>
      </w:r>
    </w:p>
    <w:p>
      <w:pPr>
        <w:numPr>
          <w:ilvl w:val="0"/>
          <w:numId w:val="1003"/>
        </w:numPr>
        <w:pStyle w:val="Compact"/>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ecotoxicology of neonicotinoids on insects? Feel free to do a brief internet search if you feel you need more background information.</w:t>
      </w:r>
    </w:p>
    <w:p>
      <w:pPr>
        <w:pStyle w:val="BlockText"/>
      </w:pPr>
      <w:r>
        <w:t xml:space="preserve">Answer: That is because if we want to widely apply certain insecticides, we should be cautious about their environmental impacts. Some insecticides will possibly cause severe but unexpected harm which even overweights their benefit. And ecotoxicology is an important perspective to evaluate the potential risks of neonicotinoid insecticides. Actually, there is literature pointing out that neonicotinoid Insecticides could be a major threat to pollinating insects such as bees. They may eliminate not only pests but also pollinators through similar biochemical processes.</w:t>
      </w:r>
    </w:p>
    <w:p>
      <w:pPr>
        <w:numPr>
          <w:ilvl w:val="0"/>
          <w:numId w:val="1004"/>
        </w:numPr>
        <w:pStyle w:val="Compact"/>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That is because litterfall in terrestrial ecosystems represents an important pathway for nutrient return to the soil. The data products from litterfall and fine woody debris sampling can provide mass data for plant functional groups. Furthermore, data on litterfall and fine woody debris can be used to calculate annual Aboveground Net Primary Productivity (ANPP) and aboveground biomass at plot, site, and continental levels. They can also provide critical information for understanding the evolution of vegetative carbon fluxes.</w:t>
      </w:r>
    </w:p>
    <w:p>
      <w:pPr>
        <w:numPr>
          <w:ilvl w:val="0"/>
          <w:numId w:val="1005"/>
        </w:numPr>
        <w:pStyle w:val="Compact"/>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 1. 2. 3.</w:t>
      </w:r>
    </w:p>
    <w:bookmarkEnd w:id="23"/>
    <w:bookmarkStart w:id="24" w:name="X960e7054c4b38dd02b67e6864eb49d59ec755e6"/>
    <w:p>
      <w:pPr>
        <w:pStyle w:val="Heading2"/>
      </w:pPr>
      <w:r>
        <w:t xml:space="preserve">Obtain basic summaries of your data (Neonics)</w:t>
      </w:r>
    </w:p>
    <w:p>
      <w:pPr>
        <w:numPr>
          <w:ilvl w:val="0"/>
          <w:numId w:val="1006"/>
        </w:numPr>
        <w:pStyle w:val="Compact"/>
      </w:pPr>
      <w:r>
        <w:t xml:space="preserve">What are the dimensions of the dataset?</w:t>
      </w:r>
    </w:p>
    <w:p>
      <w:pPr>
        <w:pStyle w:val="SourceCode"/>
      </w:pPr>
      <w:r>
        <w:rPr>
          <w:rStyle w:val="NormalTok"/>
        </w:rPr>
        <w:t xml:space="preserve">dimensions </w:t>
      </w:r>
      <w:r>
        <w:rPr>
          <w:rStyle w:val="OtherTok"/>
        </w:rPr>
        <w:t xml:space="preserve">=</w:t>
      </w:r>
      <w:r>
        <w:rPr>
          <w:rStyle w:val="NormalTok"/>
        </w:rPr>
        <w:t xml:space="preserve"> </w:t>
      </w:r>
      <w:r>
        <w:rPr>
          <w:rStyle w:val="FunctionTok"/>
        </w:rPr>
        <w:t xml:space="preserve">dim</w:t>
      </w:r>
      <w:r>
        <w:rPr>
          <w:rStyle w:val="NormalTok"/>
        </w:rPr>
        <w:t xml:space="preserve">(Neonics)</w:t>
      </w:r>
      <w:r>
        <w:br/>
      </w:r>
      <w:r>
        <w:br/>
      </w:r>
      <w:r>
        <w:rPr>
          <w:rStyle w:val="CommentTok"/>
        </w:rPr>
        <w:t xml:space="preserve"># Dataset dimensions: rows = 4623 and columns = 30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dimension of data frame is:"</w:t>
      </w:r>
      <w:r>
        <w:rPr>
          <w:rStyle w:val="NormalTok"/>
        </w:rPr>
        <w:t xml:space="preserve">, dimensions[</w:t>
      </w:r>
      <w:r>
        <w:rPr>
          <w:rStyle w:val="DecValTok"/>
        </w:rPr>
        <w:t xml:space="preserve">1</w:t>
      </w:r>
      <w:r>
        <w:rPr>
          <w:rStyle w:val="NormalTok"/>
        </w:rPr>
        <w:t xml:space="preserve">], dimensions[</w:t>
      </w:r>
      <w:r>
        <w:rPr>
          <w:rStyle w:val="DecValTok"/>
        </w:rPr>
        <w:t xml:space="preserve">2</w:t>
      </w:r>
      <w:r>
        <w:rPr>
          <w:rStyle w:val="NormalTok"/>
        </w:rPr>
        <w:t xml:space="preserve">]))</w:t>
      </w:r>
    </w:p>
    <w:p>
      <w:pPr>
        <w:pStyle w:val="SourceCode"/>
      </w:pPr>
      <w:r>
        <w:rPr>
          <w:rStyle w:val="VerbatimChar"/>
        </w:rPr>
        <w:t xml:space="preserve">## [1] "The dimension of data frame is: 4623 30"</w:t>
      </w:r>
    </w:p>
    <w:p>
      <w:pPr>
        <w:numPr>
          <w:ilvl w:val="0"/>
          <w:numId w:val="1007"/>
        </w:numPr>
        <w:pStyle w:val="Compact"/>
      </w:pPr>
      <w:r>
        <w:t xml:space="preserve">Using the</w:t>
      </w:r>
      <w:r>
        <w:t xml:space="preserve"> </w:t>
      </w:r>
      <w:r>
        <w:rPr>
          <w:rStyle w:val="VerbatimChar"/>
        </w:rPr>
        <w:t xml:space="preserve">summary</w:t>
      </w:r>
      <w:r>
        <w:t xml:space="preserve"> </w:t>
      </w:r>
      <w:r>
        <w:t xml:space="preserve">function on the</w:t>
      </w:r>
      <w:r>
        <w:t xml:space="preserve"> </w:t>
      </w:r>
      <w:r>
        <w:t xml:space="preserve">“</w:t>
      </w:r>
      <w:r>
        <w:t xml:space="preserve">Effect</w:t>
      </w:r>
      <w:r>
        <w:t xml:space="preserve">”</w:t>
      </w:r>
      <w:r>
        <w:t xml:space="preserve"> </w:t>
      </w:r>
      <w:r>
        <w:t xml:space="preserve">column, determine the most common effects that are studied. Why might these effects specifically be of interest?</w:t>
      </w:r>
    </w:p>
    <w:p>
      <w:pPr>
        <w:pStyle w:val="BlockText"/>
      </w:pPr>
      <w:r>
        <w:t xml:space="preserve">Answer:</w:t>
      </w:r>
    </w:p>
    <w:p>
      <w:pPr>
        <w:numPr>
          <w:ilvl w:val="0"/>
          <w:numId w:val="1008"/>
        </w:numPr>
        <w:pStyle w:val="Compact"/>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needed.[TIP: The</w:t>
      </w:r>
      <w:r>
        <w:t xml:space="preserve"> </w:t>
      </w:r>
      <w:r>
        <w:rPr>
          <w:rStyle w:val="VerbatimChar"/>
        </w:rPr>
        <w:t xml:space="preserve">sort()</w:t>
      </w:r>
      <w:r>
        <w:t xml:space="preserve"> </w:t>
      </w:r>
      <w:r>
        <w:t xml:space="preserve">command can sort the output of the summary command…]</w:t>
      </w:r>
    </w:p>
    <w:p>
      <w:pPr>
        <w:pStyle w:val="BlockText"/>
      </w:pPr>
      <w:r>
        <w:t xml:space="preserve">Answer:</w:t>
      </w:r>
    </w:p>
    <w:p>
      <w:pPr>
        <w:numPr>
          <w:ilvl w:val="0"/>
          <w:numId w:val="1009"/>
        </w:numPr>
        <w:pStyle w:val="Compact"/>
      </w:pPr>
      <w:r>
        <w:t xml:space="preserve">Concentrations are always a numeric value. What is the class of</w:t>
      </w:r>
      <w:r>
        <w:t xml:space="preserve"> </w:t>
      </w:r>
      <w:r>
        <w:rPr>
          <w:rStyle w:val="VerbatimChar"/>
        </w:rPr>
        <w:t xml:space="preserve">Conc.1..Author.</w:t>
      </w:r>
      <w:r>
        <w:t xml:space="preserve"> </w:t>
      </w:r>
      <w:r>
        <w:t xml:space="preserve">column in the dataset, and why is it not numeric?</w:t>
      </w:r>
    </w:p>
    <w:p>
      <w:pPr>
        <w:pStyle w:val="BlockText"/>
      </w:pPr>
      <w:r>
        <w:t xml:space="preserve">Answer:</w:t>
      </w:r>
    </w:p>
    <w:bookmarkEnd w:id="24"/>
    <w:bookmarkStart w:id="25" w:name="explore-your-data-graphically-neonics"/>
    <w:p>
      <w:pPr>
        <w:pStyle w:val="Heading2"/>
      </w:pPr>
      <w:r>
        <w:t xml:space="preserve">Explore your data graphically (Neonics)</w:t>
      </w:r>
    </w:p>
    <w:p>
      <w:pPr>
        <w:numPr>
          <w:ilvl w:val="0"/>
          <w:numId w:val="1010"/>
        </w:numPr>
      </w:pPr>
      <w:r>
        <w:t xml:space="preserve">Using</w:t>
      </w:r>
      <w:r>
        <w:t xml:space="preserve"> </w:t>
      </w:r>
      <w:r>
        <w:rPr>
          <w:rStyle w:val="VerbatimChar"/>
        </w:rPr>
        <w:t xml:space="preserve">geom_freqpoly</w:t>
      </w:r>
      <w:r>
        <w:t xml:space="preserve">, generate a plot of the number of studies conducted by publication year.</w:t>
      </w:r>
    </w:p>
    <w:p>
      <w:pPr>
        <w:numPr>
          <w:ilvl w:val="0"/>
          <w:numId w:val="1010"/>
        </w:numPr>
      </w:pPr>
      <w:r>
        <w:t xml:space="preserve">Reproduce the same graph but now add a color aesthetic so that different Test.Location are displayed as different colors.</w:t>
      </w:r>
    </w:p>
    <w:p>
      <w:pPr>
        <w:pStyle w:val="FirstParagraph"/>
      </w:pPr>
      <w:r>
        <w:t xml:space="preserve">Interpret this graph. What are the most common test locations, and do they differ over time?</w:t>
      </w:r>
    </w:p>
    <w:p>
      <w:pPr>
        <w:pStyle w:val="BlockText"/>
      </w:pPr>
      <w:r>
        <w:t xml:space="preserve">Answer:</w:t>
      </w:r>
    </w:p>
    <w:p>
      <w:pPr>
        <w:numPr>
          <w:ilvl w:val="0"/>
          <w:numId w:val="1011"/>
        </w:numPr>
        <w:pStyle w:val="Compact"/>
      </w:pPr>
      <w:r>
        <w:t xml:space="preserve">Create a bar graph of Endpoint counts. What are the two most common end points, and how are they defined? Consult the ECOTOX_CodeAppendix for more information.</w:t>
      </w:r>
    </w:p>
    <w:p>
      <w:pPr>
        <w:pStyle w:val="FirstParagraph"/>
      </w:pPr>
      <w:r>
        <w:t xml:space="preserve">[</w:t>
      </w:r>
      <w:r>
        <w:rPr>
          <w:bCs/>
          <w:b/>
        </w:rPr>
        <w:t xml:space="preserve">TIP</w:t>
      </w:r>
      <w:r>
        <w:t xml:space="preserve">: Add</w:t>
      </w:r>
      <w:r>
        <w:t xml:space="preserve"> </w:t>
      </w:r>
      <w:r>
        <w:rPr>
          <w:rStyle w:val="VerbatimChar"/>
        </w:rPr>
        <w:t xml:space="preserve">theme(axis.text.x = element_text(angle = 90, vjust = 0.5, hjust=1))</w:t>
      </w:r>
      <w:r>
        <w:t xml:space="preserve"> </w:t>
      </w:r>
      <w:r>
        <w:t xml:space="preserve">to the end of your plot command to rotate and align the X-axis labels…]</w:t>
      </w:r>
    </w:p>
    <w:p>
      <w:pPr>
        <w:pStyle w:val="BlockText"/>
      </w:pPr>
      <w:r>
        <w:t xml:space="preserve">Answer:</w:t>
      </w:r>
    </w:p>
    <w:bookmarkEnd w:id="25"/>
    <w:bookmarkStart w:id="26" w:name="explore-your-data-litter"/>
    <w:p>
      <w:pPr>
        <w:pStyle w:val="Heading2"/>
      </w:pPr>
      <w:r>
        <w:t xml:space="preserve">Explore your data (Litter)</w:t>
      </w:r>
    </w:p>
    <w:p>
      <w:pPr>
        <w:numPr>
          <w:ilvl w:val="0"/>
          <w:numId w:val="1012"/>
        </w:numPr>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numPr>
          <w:ilvl w:val="0"/>
          <w:numId w:val="1012"/>
        </w:numPr>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BlockText"/>
      </w:pPr>
      <w:r>
        <w:t xml:space="preserve">Answer:</w:t>
      </w:r>
    </w:p>
    <w:p>
      <w:pPr>
        <w:numPr>
          <w:ilvl w:val="0"/>
          <w:numId w:val="1013"/>
        </w:numPr>
      </w:pPr>
      <w:r>
        <w:t xml:space="preserve">Create a bar graph of functionalGroup counts. This shows you what type of litter is collected at the Niwot Ridge sites. Notice that litter types are fairly equally distributed across the Niwot Ridge sites.</w:t>
      </w:r>
    </w:p>
    <w:p>
      <w:pPr>
        <w:numPr>
          <w:ilvl w:val="0"/>
          <w:numId w:val="1013"/>
        </w:numPr>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FirstParagraph"/>
      </w:pPr>
      <w:r>
        <w:t xml:space="preserve">Why is the boxplot a more effective visualization option than the violin plot in this case?</w:t>
      </w:r>
    </w:p>
    <w:p>
      <w:pPr>
        <w:pStyle w:val="BlockText"/>
      </w:pPr>
      <w:r>
        <w:t xml:space="preserve">Answer:</w:t>
      </w:r>
    </w:p>
    <w:p>
      <w:pPr>
        <w:pStyle w:val="FirstParagraph"/>
      </w:pPr>
      <w:r>
        <w:t xml:space="preserve">What type(s) of litter tend to have the highest biomass at these sites?</w:t>
      </w:r>
    </w:p>
    <w:p>
      <w:pPr>
        <w:pStyle w:val="BlockText"/>
      </w:pPr>
      <w:r>
        <w:t xml:space="preserve">Answer: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Jiahuan Li</dc:creator>
  <cp:keywords/>
  <dcterms:created xsi:type="dcterms:W3CDTF">2023-02-13T07:12:15Z</dcterms:created>
  <dcterms:modified xsi:type="dcterms:W3CDTF">2023-02-13T07:12:15Z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