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Calibri" w:cs="Calibri" w:eastAsia="Calibri" w:hAnsi="Calibri"/>
          <w:b/>
          <w:bCs/>
          <w:color w:val="E8622C"/>
          <w:spacing w:val="20"/>
          <w:sz w:val="20"/>
          <w:szCs w:val="20"/>
        </w:rPr>
        <w:t xml:space="preserve">ÉTAPE 4</w:t>
      </w:r>
    </w:p>
    <w:p>
      <w:pPr>
        <w:spacing w:after="120"/>
      </w:pPr>
      <w:r>
        <w:rPr>
          <w:rFonts w:ascii="Calibri" w:cs="Calibri" w:eastAsia="Calibri" w:hAnsi="Calibri"/>
          <w:b/>
          <w:bCs/>
          <w:color w:val="134652"/>
          <w:sz w:val="52"/>
          <w:szCs w:val="52"/>
        </w:rPr>
        <w:t xml:space="preserve">Documentation finale — README</w:t>
      </w:r>
    </w:p>
    <w:p>
      <w:pPr>
        <w:pBdr>
          <w:bottom w:val="single" w:color="1F7A8C" w:sz="12" w:space="12"/>
        </w:pBdr>
        <w:spacing w:after="260"/>
      </w:pPr>
      <w:r>
        <w:rPr>
          <w:rFonts w:ascii="Calibri" w:cs="Calibri" w:eastAsia="Calibri" w:hAnsi="Calibri"/>
          <w:i/>
          <w:iCs/>
          <w:color w:val="5B5F63"/>
          <w:sz w:val="24"/>
          <w:szCs w:val="24"/>
        </w:rPr>
        <w:t xml:space="preserve">Traçabilité, justifications, résultats, limites et reproductibilité</w:t>
      </w:r>
    </w:p>
    <w:p>
      <w:pPr>
        <w:spacing w:after="40"/>
      </w:pPr>
      <w:r>
        <w:rPr>
          <w:rFonts w:ascii="Calibri" w:cs="Calibri" w:eastAsia="Calibri" w:hAnsi="Calibri"/>
          <w:b/>
          <w:bCs/>
          <w:color w:val="134652"/>
          <w:sz w:val="18"/>
          <w:szCs w:val="18"/>
        </w:rPr>
        <w:t xml:space="preserve">BOTTLENECK</w:t>
      </w:r>
      <w:r>
        <w:rPr>
          <w:rFonts w:ascii="Calibri" w:cs="Calibri" w:eastAsia="Calibri" w:hAnsi="Calibri"/>
          <w:color w:val="5B5F63"/>
          <w:sz w:val="18"/>
          <w:szCs w:val="18"/>
        </w:rPr>
        <w:t xml:space="preserve">  ·  Mission 1 — Partie 1  ·  Amélioration critique du livrable Projet 6</w:t>
      </w:r>
    </w:p>
    <w:p>
      <w:pPr>
        <w:spacing w:after="480"/>
      </w:pPr>
      <w:r>
        <w:rPr>
          <w:rFonts w:ascii="Calibri" w:cs="Calibri" w:eastAsia="Calibri" w:hAnsi="Calibri"/>
          <w:color w:val="5B5F63"/>
          <w:sz w:val="18"/>
          <w:szCs w:val="18"/>
        </w:rPr>
        <w:t xml:space="preserve">Kawtar Belkacemi</w:t>
      </w:r>
      <w:r>
        <w:rPr>
          <w:rFonts w:ascii="Calibri" w:cs="Calibri" w:eastAsia="Calibri" w:hAnsi="Calibri"/>
          <w:color w:val="5B5F63"/>
          <w:sz w:val="18"/>
          <w:szCs w:val="18"/>
        </w:rPr>
        <w:t xml:space="preserve">   ·   Formation Data Analyst — OpenClassrooms   ·   Août 2026</w:t>
      </w:r>
    </w:p>
    <w:p>
      <w:pPr>
        <w:spacing w:after="130" w:before="60"/>
      </w:pPr>
      <w:r>
        <w:rPr>
          <w:rFonts w:ascii="Calibri" w:cs="Calibri" w:eastAsia="Calibri" w:hAnsi="Calibri"/>
          <w:b/>
          <w:bCs/>
          <w:color w:val="134652"/>
          <w:spacing w:val="25"/>
          <w:sz w:val="17"/>
          <w:szCs w:val="17"/>
        </w:rPr>
        <w:t xml:space="preserve">SOMMAIRE</w:t>
      </w:r>
    </w:p>
    <w:p>
      <w:pPr>
        <w:tabs>
          <w:tab w:val="right" w:pos="9200"/>
        </w:tabs>
        <w:spacing w:after="70"/>
      </w:pPr>
      <w:r>
        <w:rPr>
          <w:rFonts w:ascii="Consolas" w:cs="Consolas" w:eastAsia="Consolas" w:hAnsi="Consolas"/>
          <w:color w:val="E8622C"/>
          <w:sz w:val="17"/>
          <w:szCs w:val="17"/>
        </w:rPr>
        <w:t xml:space="preserve">01   </w:t>
      </w:r>
      <w:r>
        <w:rPr>
          <w:rFonts w:ascii="Calibri" w:cs="Calibri" w:eastAsia="Calibri" w:hAnsi="Calibri"/>
          <w:color w:val="222222"/>
          <w:sz w:val="19"/>
          <w:szCs w:val="19"/>
        </w:rPr>
        <w:t xml:space="preserve">Fichiers du projet</w:t>
      </w:r>
    </w:p>
    <w:p>
      <w:pPr>
        <w:tabs>
          <w:tab w:val="right" w:pos="9200"/>
        </w:tabs>
        <w:spacing w:after="70"/>
      </w:pPr>
      <w:r>
        <w:rPr>
          <w:rFonts w:ascii="Consolas" w:cs="Consolas" w:eastAsia="Consolas" w:hAnsi="Consolas"/>
          <w:color w:val="E8622C"/>
          <w:sz w:val="17"/>
          <w:szCs w:val="17"/>
        </w:rPr>
        <w:t xml:space="preserve">02   </w:t>
      </w:r>
      <w:r>
        <w:rPr>
          <w:rFonts w:ascii="Calibri" w:cs="Calibri" w:eastAsia="Calibri" w:hAnsi="Calibri"/>
          <w:color w:val="222222"/>
          <w:sz w:val="19"/>
          <w:szCs w:val="19"/>
        </w:rPr>
        <w:t xml:space="preserve">Traçabilité des choix</w:t>
      </w:r>
    </w:p>
    <w:p>
      <w:pPr>
        <w:tabs>
          <w:tab w:val="right" w:pos="9200"/>
        </w:tabs>
        <w:spacing w:after="70"/>
      </w:pPr>
      <w:r>
        <w:rPr>
          <w:rFonts w:ascii="Consolas" w:cs="Consolas" w:eastAsia="Consolas" w:hAnsi="Consolas"/>
          <w:color w:val="E8622C"/>
          <w:sz w:val="17"/>
          <w:szCs w:val="17"/>
        </w:rPr>
        <w:t xml:space="preserve">03   </w:t>
      </w:r>
      <w:r>
        <w:rPr>
          <w:rFonts w:ascii="Calibri" w:cs="Calibri" w:eastAsia="Calibri" w:hAnsi="Calibri"/>
          <w:color w:val="222222"/>
          <w:sz w:val="19"/>
          <w:szCs w:val="19"/>
        </w:rPr>
        <w:t xml:space="preserve">Justifications techniques</w:t>
      </w:r>
    </w:p>
    <w:p>
      <w:pPr>
        <w:tabs>
          <w:tab w:val="right" w:pos="9200"/>
        </w:tabs>
        <w:spacing w:after="70"/>
      </w:pPr>
      <w:r>
        <w:rPr>
          <w:rFonts w:ascii="Consolas" w:cs="Consolas" w:eastAsia="Consolas" w:hAnsi="Consolas"/>
          <w:color w:val="E8622C"/>
          <w:sz w:val="17"/>
          <w:szCs w:val="17"/>
        </w:rPr>
        <w:t xml:space="preserve">04   </w:t>
      </w:r>
      <w:r>
        <w:rPr>
          <w:rFonts w:ascii="Calibri" w:cs="Calibri" w:eastAsia="Calibri" w:hAnsi="Calibri"/>
          <w:color w:val="222222"/>
          <w:sz w:val="19"/>
          <w:szCs w:val="19"/>
        </w:rPr>
        <w:t xml:space="preserve">Résultats numériques obtenus (exécution réelle, Run All)</w:t>
      </w:r>
    </w:p>
    <w:p>
      <w:pPr>
        <w:tabs>
          <w:tab w:val="right" w:pos="9200"/>
        </w:tabs>
        <w:spacing w:after="70"/>
      </w:pPr>
      <w:r>
        <w:rPr>
          <w:rFonts w:ascii="Consolas" w:cs="Consolas" w:eastAsia="Consolas" w:hAnsi="Consolas"/>
          <w:color w:val="E8622C"/>
          <w:sz w:val="17"/>
          <w:szCs w:val="17"/>
        </w:rPr>
        <w:t xml:space="preserve">05   </w:t>
      </w:r>
      <w:r>
        <w:rPr>
          <w:rFonts w:ascii="Calibri" w:cs="Calibri" w:eastAsia="Calibri" w:hAnsi="Calibri"/>
          <w:color w:val="222222"/>
          <w:sz w:val="19"/>
          <w:szCs w:val="19"/>
        </w:rPr>
        <w:t xml:space="preserve">Limites et biais identifiés</w:t>
      </w:r>
    </w:p>
    <w:p>
      <w:pPr>
        <w:tabs>
          <w:tab w:val="right" w:pos="9200"/>
        </w:tabs>
        <w:spacing w:after="70"/>
      </w:pPr>
      <w:r>
        <w:rPr>
          <w:rFonts w:ascii="Consolas" w:cs="Consolas" w:eastAsia="Consolas" w:hAnsi="Consolas"/>
          <w:color w:val="E8622C"/>
          <w:sz w:val="17"/>
          <w:szCs w:val="17"/>
        </w:rPr>
        <w:t xml:space="preserve">06   </w:t>
      </w:r>
      <w:r>
        <w:rPr>
          <w:rFonts w:ascii="Calibri" w:cs="Calibri" w:eastAsia="Calibri" w:hAnsi="Calibri"/>
          <w:color w:val="222222"/>
          <w:sz w:val="19"/>
          <w:szCs w:val="19"/>
        </w:rPr>
        <w:t xml:space="preserve">Reproductibilité</w:t>
      </w:r>
    </w:p>
    <w:p>
      <w:pPr>
        <w:tabs>
          <w:tab w:val="right" w:pos="9200"/>
        </w:tabs>
        <w:spacing w:after="70"/>
      </w:pPr>
      <w:r>
        <w:rPr>
          <w:rFonts w:ascii="Consolas" w:cs="Consolas" w:eastAsia="Consolas" w:hAnsi="Consolas"/>
          <w:color w:val="E8622C"/>
          <w:sz w:val="17"/>
          <w:szCs w:val="17"/>
        </w:rPr>
        <w:t xml:space="preserve">07   </w:t>
      </w:r>
      <w:r>
        <w:rPr>
          <w:rFonts w:ascii="Calibri" w:cs="Calibri" w:eastAsia="Calibri" w:hAnsi="Calibri"/>
          <w:color w:val="222222"/>
          <w:sz w:val="19"/>
          <w:szCs w:val="19"/>
        </w:rPr>
        <w:t xml:space="preserve">Traçabilité des essais IA</w:t>
      </w:r>
    </w:p>
    <w:p>
      <w:pPr>
        <w:tabs>
          <w:tab w:val="right" w:pos="9200"/>
        </w:tabs>
        <w:spacing w:after="70"/>
      </w:pPr>
      <w:r>
        <w:rPr>
          <w:rFonts w:ascii="Consolas" w:cs="Consolas" w:eastAsia="Consolas" w:hAnsi="Consolas"/>
          <w:color w:val="E8622C"/>
          <w:sz w:val="17"/>
          <w:szCs w:val="17"/>
        </w:rPr>
        <w:t xml:space="preserve">08   </w:t>
      </w:r>
      <w:r>
        <w:rPr>
          <w:rFonts w:ascii="Calibri" w:cs="Calibri" w:eastAsia="Calibri" w:hAnsi="Calibri"/>
          <w:color w:val="222222"/>
          <w:sz w:val="19"/>
          <w:szCs w:val="19"/>
        </w:rPr>
        <w:t xml:space="preserve">Synthèse recruteur / client</w:t>
      </w:r>
    </w:p>
    <w:p>
      <w:pPr>
        <w:pBdr>
          <w:bottom w:val="single" w:color="1F7A8C" w:sz="6" w:space="10"/>
        </w:pBdr>
        <w:spacing w:after="340"/>
      </w:pPr>
    </w:p>
    <w:p>
      <w:pPr>
        <w:pStyle w:val="Heading1"/>
        <w:pBdr>
          <w:bottom w:val="single" w:color="1F7A8C" w:sz="6" w:space="6"/>
        </w:pBdr>
        <w:spacing w:after="200" w:before="420"/>
      </w:pPr>
      <w:r>
        <w:rPr>
          <w:rFonts w:ascii="Calibri" w:cs="Calibri" w:eastAsia="Calibri" w:hAnsi="Calibri"/>
          <w:b/>
          <w:bCs/>
          <w:color w:val="134652"/>
          <w:sz w:val="30"/>
          <w:szCs w:val="30"/>
        </w:rPr>
        <w:t xml:space="preserve">1. Fichiers du projet</w:t>
      </w:r>
    </w:p>
    <w:tbl>
      <w:tblPr>
        <w:tblW w:type="dxa" w:w="9648"/>
        <w:tblBorders>
          <w:top w:val="single" w:color="D5D8DB" w:sz="4"/>
          <w:left w:val="single" w:color="D5D8DB" w:sz="4"/>
          <w:bottom w:val="single" w:color="D5D8DB" w:sz="4"/>
          <w:right w:val="single" w:color="D5D8DB" w:sz="4"/>
          <w:insideH w:val="single" w:color="D5D8DB" w:sz="4"/>
          <w:insideV w:val="single" w:color="D5D8DB" w:sz="4"/>
        </w:tblBorders>
      </w:tblPr>
      <w:tblGrid>
        <w:gridCol w:w="4400"/>
        <w:gridCol w:w="5220"/>
      </w:tblGrid>
      <w:tr>
        <w:trPr>
          <w:cantSplit/>
          <w:tblHeader/>
        </w:trPr>
        <w:tc>
          <w:tcPr>
            <w:tcW w:type="dxa" w:w="440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Fichier</w:t>
            </w:r>
          </w:p>
        </w:tc>
        <w:tc>
          <w:tcPr>
            <w:tcW w:type="dxa" w:w="522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Rôle</w:t>
            </w:r>
          </w:p>
        </w:tc>
      </w:tr>
      <w:tr>
        <w:trPr>
          <w:cantSplit/>
        </w:trPr>
        <w:tc>
          <w:tcPr>
            <w:tcW w:type="dxa" w:w="44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Belkacemi_Kawtar_1_notebook_052025.ipynb</w:t>
            </w:r>
          </w:p>
        </w:tc>
        <w:tc>
          <w:tcPr>
            <w:tcW w:type="dxa" w:w="52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Notebook original, non modifié (conservé pour comparaison avant/après)</w:t>
            </w:r>
          </w:p>
        </w:tc>
      </w:tr>
      <w:tr>
        <w:trPr>
          <w:cantSplit/>
        </w:trPr>
        <w:tc>
          <w:tcPr>
            <w:tcW w:type="dxa" w:w="44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Belkacemi_Kawtar_1_notebook_V2_AMELIORE.ipynb</w:t>
            </w:r>
          </w:p>
        </w:tc>
        <w:tc>
          <w:tcPr>
            <w:tcW w:type="dxa" w:w="522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Notebook V2, exécuté intégralement (Run All), sans erreur</w:t>
            </w:r>
          </w:p>
        </w:tc>
      </w:tr>
      <w:tr>
        <w:trPr>
          <w:cantSplit/>
        </w:trPr>
        <w:tc>
          <w:tcPr>
            <w:tcW w:type="dxa" w:w="44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erp.xlsx, web.xlsx, liaison.xlsx</w:t>
            </w:r>
          </w:p>
        </w:tc>
        <w:tc>
          <w:tcPr>
            <w:tcW w:type="dxa" w:w="52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Fichiers sources (à la racine, requis pour l'exécution en chemin relatif)</w:t>
            </w:r>
          </w:p>
        </w:tc>
      </w:tr>
      <w:tr>
        <w:trPr>
          <w:cantSplit/>
        </w:trPr>
        <w:tc>
          <w:tcPr>
            <w:tcW w:type="dxa" w:w="44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veille_technologique.docx</w:t>
            </w:r>
          </w:p>
        </w:tc>
        <w:tc>
          <w:tcPr>
            <w:tcW w:type="dxa" w:w="522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Étape 1 — besoin de veille, solutions comparées, décision</w:t>
            </w:r>
          </w:p>
        </w:tc>
      </w:tr>
      <w:tr>
        <w:trPr>
          <w:cantSplit/>
        </w:trPr>
        <w:tc>
          <w:tcPr>
            <w:tcW w:type="dxa" w:w="44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cahier_des_charges.docx</w:t>
            </w:r>
          </w:p>
        </w:tc>
        <w:tc>
          <w:tcPr>
            <w:tcW w:type="dxa" w:w="52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Étape 2 — périmètre, contraintes, KPI, plan de formation</w:t>
            </w:r>
          </w:p>
        </w:tc>
      </w:tr>
      <w:tr>
        <w:trPr>
          <w:cantSplit/>
        </w:trPr>
        <w:tc>
          <w:tcPr>
            <w:tcW w:type="dxa" w:w="44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PROJET_ORGANISATION.docx</w:t>
            </w:r>
          </w:p>
        </w:tc>
        <w:tc>
          <w:tcPr>
            <w:tcW w:type="dxa" w:w="522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Étape 3 — lots, backlog, planning, registre des risques</w:t>
            </w:r>
          </w:p>
        </w:tc>
      </w:tr>
      <w:tr>
        <w:trPr>
          <w:cantSplit/>
        </w:trPr>
        <w:tc>
          <w:tcPr>
            <w:tcW w:type="dxa" w:w="44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README.docx</w:t>
            </w:r>
          </w:p>
        </w:tc>
        <w:tc>
          <w:tcPr>
            <w:tcW w:type="dxa" w:w="52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Étape 4 — présent document</w:t>
            </w:r>
          </w:p>
        </w:tc>
      </w:tr>
    </w:tbl>
    <w:p>
      <w:pPr>
        <w:pStyle w:val="Heading1"/>
        <w:pBdr>
          <w:bottom w:val="single" w:color="1F7A8C" w:sz="6" w:space="6"/>
        </w:pBdr>
        <w:spacing w:after="200" w:before="420"/>
      </w:pPr>
      <w:r>
        <w:rPr>
          <w:rFonts w:ascii="Calibri" w:cs="Calibri" w:eastAsia="Calibri" w:hAnsi="Calibri"/>
          <w:b/>
          <w:bCs/>
          <w:color w:val="134652"/>
          <w:sz w:val="30"/>
          <w:szCs w:val="30"/>
        </w:rPr>
        <w:t xml:space="preserve">2. Traçabilité des choix</w:t>
      </w:r>
    </w:p>
    <w:p>
      <w:pPr>
        <w:spacing w:after="160" w:line="300"/>
      </w:pPr>
      <w:r>
        <w:rPr>
          <w:rFonts w:ascii="Calibri" w:cs="Calibri" w:eastAsia="Calibri" w:hAnsi="Calibri"/>
          <w:b w:val="false"/>
          <w:bCs w:val="false"/>
          <w:i w:val="false"/>
          <w:iCs w:val="false"/>
          <w:color w:val="222222"/>
          <w:sz w:val="21"/>
          <w:szCs w:val="21"/>
        </w:rPr>
        <w:t xml:space="preserve">Trois solutions de détection d'anomalies multivariées ont été comparées en veille (détail Étape 1) : Isolation Forest, Local Outlier Factor et One-Class SVM. Les deux premières ont été effectivement implémentées et exécutées sur les données réelles du catalogue (Étape 4.3 du notebook) ; One-Class SVM a été écartée avant implémentation, sa complexité de réglage n'étant pas justifiée pour un catalogue de 825 références.</w:t>
      </w:r>
    </w:p>
    <w:p>
      <w:pPr>
        <w:pStyle w:val="ListParagraph"/>
        <w:numPr>
          <w:ilvl w:val="0"/>
          <w:numId w:val="1"/>
        </w:numPr>
        <w:spacing w:after="100" w:line="290"/>
      </w:pPr>
      <w:r>
        <w:rPr>
          <w:rFonts w:ascii="Calibri" w:cs="Calibri" w:eastAsia="Calibri" w:hAnsi="Calibri"/>
          <w:b/>
          <w:bCs/>
          <w:color w:val="222222"/>
          <w:sz w:val="21"/>
          <w:szCs w:val="21"/>
        </w:rPr>
        <w:t xml:space="preserve">Retenu — Isolation Forest : </w:t>
      </w:r>
      <w:r>
        <w:rPr>
          <w:rFonts w:ascii="Calibri" w:cs="Calibri" w:eastAsia="Calibri" w:hAnsi="Calibri"/>
          <w:color w:val="222222"/>
          <w:sz w:val="21"/>
          <w:szCs w:val="21"/>
        </w:rPr>
        <w:t xml:space="preserve">recoupe l'IQR à 23,64% (indice de Jaccard), contre 7,94% pour Local Outlier Factor ; ne repose que sur un seul hyperparamètre réellement décisif (contamination), calibré objectivement sur le taux d'outliers déjà connu par l'IQR ; résultat reproductible (random_state=42).</w:t>
      </w:r>
    </w:p>
    <w:p>
      <w:pPr>
        <w:pStyle w:val="ListParagraph"/>
        <w:numPr>
          <w:ilvl w:val="0"/>
          <w:numId w:val="1"/>
        </w:numPr>
        <w:spacing w:after="100" w:line="290"/>
      </w:pPr>
      <w:r>
        <w:rPr>
          <w:rFonts w:ascii="Calibri" w:cs="Calibri" w:eastAsia="Calibri" w:hAnsi="Calibri"/>
          <w:b/>
          <w:bCs/>
          <w:color w:val="222222"/>
          <w:sz w:val="21"/>
          <w:szCs w:val="21"/>
        </w:rPr>
        <w:t xml:space="preserve">Testée et conservée — Local Outlier Factor : </w:t>
      </w:r>
      <w:r>
        <w:rPr>
          <w:rFonts w:ascii="Calibri" w:cs="Calibri" w:eastAsia="Calibri" w:hAnsi="Calibri"/>
          <w:color w:val="222222"/>
          <w:sz w:val="21"/>
          <w:szCs w:val="21"/>
        </w:rPr>
        <w:t xml:space="preserve">implémentée et exécutée pour une comparaison réelle, pas seulement théorique. Détecte 27 anomalies invisibles à l'IQR (contre 19 pour Isolation Forest), et s'est révélée plus rapide qu'Isolation Forest à cette échelle (1,7 ms contre 46,9 ms) — un résultat mesuré qui contredit l'intuition théorique de complexité, gardé et documenté tel quel plutôt qu'ignoré. Conservée en recoupement plutôt qu'écartée : les articles que les deux méthodes signalent en même temps forment la liste la plus sûre à faire auditer en premier.</w:t>
      </w:r>
    </w:p>
    <w:p>
      <w:pPr>
        <w:pStyle w:val="ListParagraph"/>
        <w:numPr>
          <w:ilvl w:val="0"/>
          <w:numId w:val="1"/>
        </w:numPr>
        <w:spacing w:after="100" w:line="290"/>
      </w:pPr>
      <w:r>
        <w:rPr>
          <w:rFonts w:ascii="Calibri" w:cs="Calibri" w:eastAsia="Calibri" w:hAnsi="Calibri"/>
          <w:b/>
          <w:bCs/>
          <w:color w:val="222222"/>
          <w:sz w:val="21"/>
          <w:szCs w:val="21"/>
        </w:rPr>
        <w:t xml:space="preserve">Écartée avant implémentation — One-Class SVM : </w:t>
      </w:r>
      <w:r>
        <w:rPr>
          <w:rFonts w:ascii="Calibri" w:cs="Calibri" w:eastAsia="Calibri" w:hAnsi="Calibri"/>
          <w:color w:val="222222"/>
          <w:sz w:val="21"/>
          <w:szCs w:val="21"/>
        </w:rPr>
        <w:t xml:space="preserve">trop sensible aux hyperparamètres nu/gamma, nécessite un jeu d'apprentissage supposé "propre", non garanti sur ce catalogue.</w:t>
      </w:r>
    </w:p>
    <w:p>
      <w:pPr>
        <w:spacing w:after="160" w:line="300"/>
      </w:pPr>
      <w:r>
        <w:rPr>
          <w:rFonts w:ascii="Calibri" w:cs="Calibri" w:eastAsia="Calibri" w:hAnsi="Calibri"/>
          <w:b w:val="false"/>
          <w:bCs w:val="false"/>
          <w:i w:val="false"/>
          <w:iCs w:val="false"/>
          <w:color w:val="222222"/>
          <w:sz w:val="21"/>
          <w:szCs w:val="21"/>
        </w:rPr>
        <w:t xml:space="preserve">Pour la validation des corrélations, Pearson et Spearman ont été retenus tous les deux : Pearson reste cohérent avec le coefficient déjà affiché par DataFrame.corr() dans la heatmap existante, Spearman capture en complément les relations monotones non linéaires — choix payant à l'exécution (voir §4, écart Pearson/Spearman sur stock_quantity vs purchase_price).</w:t>
      </w:r>
    </w:p>
    <w:p>
      <w:pPr>
        <w:pStyle w:val="Heading1"/>
        <w:pBdr>
          <w:bottom w:val="single" w:color="1F7A8C" w:sz="6" w:space="6"/>
        </w:pBdr>
        <w:spacing w:after="200" w:before="420"/>
      </w:pPr>
      <w:r>
        <w:rPr>
          <w:rFonts w:ascii="Calibri" w:cs="Calibri" w:eastAsia="Calibri" w:hAnsi="Calibri"/>
          <w:b/>
          <w:bCs/>
          <w:color w:val="134652"/>
          <w:sz w:val="30"/>
          <w:szCs w:val="30"/>
        </w:rPr>
        <w:t xml:space="preserve">3. Justifications techniques</w:t>
      </w:r>
    </w:p>
    <w:p>
      <w:pPr>
        <w:pStyle w:val="ListParagraph"/>
        <w:numPr>
          <w:ilvl w:val="0"/>
          <w:numId w:val="1"/>
        </w:numPr>
        <w:spacing w:after="100" w:line="290"/>
      </w:pPr>
      <w:r>
        <w:rPr>
          <w:rFonts w:ascii="Calibri" w:cs="Calibri" w:eastAsia="Calibri" w:hAnsi="Calibri"/>
          <w:b/>
          <w:bCs/>
          <w:color w:val="222222"/>
          <w:sz w:val="21"/>
          <w:szCs w:val="21"/>
        </w:rPr>
        <w:t xml:space="preserve">Chemins relatifs </w:t>
      </w:r>
      <w:r>
        <w:rPr>
          <w:rFonts w:ascii="Calibri" w:cs="Calibri" w:eastAsia="Calibri" w:hAnsi="Calibri"/>
          <w:color w:val="222222"/>
          <w:sz w:val="21"/>
          <w:szCs w:val="21"/>
        </w:rPr>
        <w:t xml:space="preserve">plutôt qu'absolus (le notebook V1 utilisait des chemins codés en dur, ex. /Users/lyrab/...) : portabilité du notebook sur n'importe quel poste, condition nécessaire à la reproductibilité exigée en critère d'acceptation.</w:t>
      </w:r>
    </w:p>
    <w:p>
      <w:pPr>
        <w:pStyle w:val="ListParagraph"/>
        <w:numPr>
          <w:ilvl w:val="0"/>
          <w:numId w:val="1"/>
        </w:numPr>
        <w:spacing w:after="100" w:line="290"/>
      </w:pPr>
      <w:r>
        <w:rPr>
          <w:rFonts w:ascii="Calibri" w:cs="Calibri" w:eastAsia="Calibri" w:hAnsi="Calibri"/>
          <w:b/>
          <w:bCs/>
          <w:color w:val="222222"/>
          <w:sz w:val="21"/>
          <w:szCs w:val="21"/>
        </w:rPr>
        <w:t xml:space="preserve">Standardisation avant Isolation Forest et Local Outlier Factor : </w:t>
      </w:r>
      <w:r>
        <w:rPr>
          <w:rFonts w:ascii="Calibri" w:cs="Calibri" w:eastAsia="Calibri" w:hAnsi="Calibri"/>
          <w:color w:val="222222"/>
          <w:sz w:val="21"/>
          <w:szCs w:val="21"/>
        </w:rPr>
        <w:t xml:space="preserve">indispensable car price (dizaines à centaines d'euros), stock_quantity et total_sales (unités) sont sur des échelles très différentes.</w:t>
      </w:r>
    </w:p>
    <w:p>
      <w:pPr>
        <w:pStyle w:val="ListParagraph"/>
        <w:numPr>
          <w:ilvl w:val="0"/>
          <w:numId w:val="1"/>
        </w:numPr>
        <w:spacing w:after="100" w:line="290"/>
      </w:pPr>
      <w:r>
        <w:rPr>
          <w:rFonts w:ascii="Calibri" w:cs="Calibri" w:eastAsia="Calibri" w:hAnsi="Calibri"/>
          <w:b/>
          <w:bCs/>
          <w:color w:val="222222"/>
          <w:sz w:val="21"/>
          <w:szCs w:val="21"/>
        </w:rPr>
        <w:t xml:space="preserve">contamination = nb_outliers / df_final.shape[0] (4,36 %) </w:t>
      </w:r>
      <w:r>
        <w:rPr>
          <w:rFonts w:ascii="Calibri" w:cs="Calibri" w:eastAsia="Calibri" w:hAnsi="Calibri"/>
          <w:color w:val="222222"/>
          <w:sz w:val="21"/>
          <w:szCs w:val="21"/>
        </w:rPr>
        <w:t xml:space="preserve">plutôt qu'une valeur arbitraire, appliquée identiquement aux deux méthodes : calibrage traçable, déjà validé côté métier via l'IQR, et qui rend la comparaison entre les deux méthodes équitable (même taux imposé).</w:t>
      </w:r>
    </w:p>
    <w:p>
      <w:pPr>
        <w:pStyle w:val="ListParagraph"/>
        <w:numPr>
          <w:ilvl w:val="0"/>
          <w:numId w:val="1"/>
        </w:numPr>
        <w:spacing w:after="100" w:line="290"/>
      </w:pPr>
      <w:r>
        <w:rPr>
          <w:rFonts w:ascii="Calibri" w:cs="Calibri" w:eastAsia="Calibri" w:hAnsi="Calibri"/>
          <w:b/>
          <w:bCs/>
          <w:color w:val="222222"/>
          <w:sz w:val="21"/>
          <w:szCs w:val="21"/>
        </w:rPr>
        <w:t xml:space="preserve">random_state=42 : </w:t>
      </w:r>
      <w:r>
        <w:rPr>
          <w:rFonts w:ascii="Calibri" w:cs="Calibri" w:eastAsia="Calibri" w:hAnsi="Calibri"/>
          <w:color w:val="222222"/>
          <w:sz w:val="21"/>
          <w:szCs w:val="21"/>
        </w:rPr>
        <w:t xml:space="preserve">reproductibilité des résultats d'une exécution à l'autre pour Isolation Forest.</w:t>
      </w:r>
    </w:p>
    <w:p>
      <w:pPr>
        <w:pStyle w:val="ListParagraph"/>
        <w:numPr>
          <w:ilvl w:val="0"/>
          <w:numId w:val="1"/>
        </w:numPr>
        <w:spacing w:after="100" w:line="290"/>
      </w:pPr>
      <w:r>
        <w:rPr>
          <w:rFonts w:ascii="Calibri" w:cs="Calibri" w:eastAsia="Calibri" w:hAnsi="Calibri"/>
          <w:b/>
          <w:bCs/>
          <w:color w:val="222222"/>
          <w:sz w:val="21"/>
          <w:szCs w:val="21"/>
        </w:rPr>
        <w:t xml:space="preserve">Temps de calcul mesuré, pas estimé : </w:t>
      </w:r>
      <w:r>
        <w:rPr>
          <w:rFonts w:ascii="Calibri" w:cs="Calibri" w:eastAsia="Calibri" w:hAnsi="Calibri"/>
          <w:color w:val="222222"/>
          <w:sz w:val="21"/>
          <w:szCs w:val="21"/>
        </w:rPr>
        <w:t xml:space="preserve">chronométrage réel des deux méthodes sur les données du catalogue plutôt qu'une affirmation générique tirée de la documentation — voir §4 pour le résultat, contre-intuitif, qui en découle.</w:t>
      </w:r>
    </w:p>
    <w:p>
      <w:pPr>
        <w:pStyle w:val="ListParagraph"/>
        <w:numPr>
          <w:ilvl w:val="0"/>
          <w:numId w:val="1"/>
        </w:numPr>
        <w:spacing w:after="100" w:line="290"/>
      </w:pPr>
      <w:r>
        <w:rPr>
          <w:rFonts w:ascii="Calibri" w:cs="Calibri" w:eastAsia="Calibri" w:hAnsi="Calibri"/>
          <w:b/>
          <w:bCs/>
          <w:color w:val="222222"/>
          <w:sz w:val="21"/>
          <w:szCs w:val="21"/>
        </w:rPr>
        <w:t xml:space="preserve">Seuil p &lt; 0,05 : </w:t>
      </w:r>
      <w:r>
        <w:rPr>
          <w:rFonts w:ascii="Calibri" w:cs="Calibri" w:eastAsia="Calibri" w:hAnsi="Calibri"/>
          <w:color w:val="222222"/>
          <w:sz w:val="21"/>
          <w:szCs w:val="21"/>
        </w:rPr>
        <w:t xml:space="preserve">seuil usuel en sciences sociales et en analyse de données, cohérent avec la nature exploratoire de l'étude.</w:t>
      </w:r>
    </w:p>
    <w:p>
      <w:pPr>
        <w:pStyle w:val="ListParagraph"/>
        <w:numPr>
          <w:ilvl w:val="0"/>
          <w:numId w:val="1"/>
        </w:numPr>
        <w:spacing w:after="100" w:line="290"/>
      </w:pPr>
      <w:r>
        <w:rPr>
          <w:rFonts w:ascii="Calibri" w:cs="Calibri" w:eastAsia="Calibri" w:hAnsi="Calibri"/>
          <w:b/>
          <w:bCs/>
          <w:color w:val="222222"/>
          <w:sz w:val="21"/>
          <w:szCs w:val="21"/>
        </w:rPr>
        <w:t xml:space="preserve">Insertion sans réécriture : </w:t>
      </w:r>
      <w:r>
        <w:rPr>
          <w:rFonts w:ascii="Calibri" w:cs="Calibri" w:eastAsia="Calibri" w:hAnsi="Calibri"/>
          <w:color w:val="222222"/>
          <w:sz w:val="21"/>
          <w:szCs w:val="21"/>
        </w:rPr>
        <w:t xml:space="preserve">les nouvelles sections sont insérées après l'Étape 4.2.2 (IQR) et avant l'Étape 5, puis après la conclusion de la heatmap (Étape 5.5) et avant l'export Excel (Étape 5.6). Toutes les sections et conclusions du V1 sont conservées mot pour mot, à l'identique.</w:t>
      </w:r>
    </w:p>
    <w:p>
      <w:pPr>
        <w:pStyle w:val="Heading1"/>
        <w:pBdr>
          <w:bottom w:val="single" w:color="1F7A8C" w:sz="6" w:space="6"/>
        </w:pBdr>
        <w:spacing w:after="200" w:before="420"/>
      </w:pPr>
      <w:r>
        <w:rPr>
          <w:rFonts w:ascii="Calibri" w:cs="Calibri" w:eastAsia="Calibri" w:hAnsi="Calibri"/>
          <w:b/>
          <w:bCs/>
          <w:color w:val="134652"/>
          <w:sz w:val="30"/>
          <w:szCs w:val="30"/>
        </w:rPr>
        <w:t xml:space="preserve">4. Résultats numériques obtenus (exécution réelle, Run All)</w:t>
      </w:r>
    </w:p>
    <w:p>
      <w:pPr>
        <w:pStyle w:val="Heading2"/>
        <w:spacing w:after="140" w:before="300"/>
      </w:pPr>
      <w:r>
        <w:rPr>
          <w:rFonts w:ascii="Calibri" w:cs="Calibri" w:eastAsia="Calibri" w:hAnsi="Calibri"/>
          <w:b/>
          <w:bCs/>
          <w:color w:val="134652"/>
          <w:sz w:val="24"/>
          <w:szCs w:val="24"/>
        </w:rPr>
        <w:t xml:space="preserve">Détection d'anomalies — IQR (univariée) vs deux méthodes multivariées</w:t>
      </w:r>
    </w:p>
    <w:tbl>
      <w:tblPr>
        <w:tblW w:type="dxa" w:w="9648"/>
        <w:tblBorders>
          <w:top w:val="single" w:color="D5D8DB" w:sz="4"/>
          <w:left w:val="single" w:color="D5D8DB" w:sz="4"/>
          <w:bottom w:val="single" w:color="D5D8DB" w:sz="4"/>
          <w:right w:val="single" w:color="D5D8DB" w:sz="4"/>
          <w:insideH w:val="single" w:color="D5D8DB" w:sz="4"/>
          <w:insideV w:val="single" w:color="D5D8DB" w:sz="4"/>
        </w:tblBorders>
      </w:tblPr>
      <w:tblGrid>
        <w:gridCol w:w="6400"/>
        <w:gridCol w:w="3220"/>
      </w:tblGrid>
      <w:tr>
        <w:trPr>
          <w:cantSplit/>
          <w:tblHeader/>
        </w:trPr>
        <w:tc>
          <w:tcPr>
            <w:tcW w:type="dxa" w:w="640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Indicateur</w:t>
            </w:r>
          </w:p>
        </w:tc>
        <w:tc>
          <w:tcPr>
            <w:tcW w:type="dxa" w:w="322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Valeur</w:t>
            </w:r>
          </w:p>
        </w:tc>
      </w:tr>
      <w:tr>
        <w:trPr>
          <w:cantSplit/>
        </w:trPr>
        <w:tc>
          <w:tcPr>
            <w:tcW w:type="dxa" w:w="64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Outliers détectés par l'IQR (sur price uniquement)</w:t>
            </w:r>
          </w:p>
        </w:tc>
        <w:tc>
          <w:tcPr>
            <w:tcW w:type="dxa" w:w="32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36 articles (4,36 % du catalogue)</w:t>
            </w:r>
          </w:p>
        </w:tc>
      </w:tr>
      <w:tr>
        <w:trPr>
          <w:cantSplit/>
        </w:trPr>
        <w:tc>
          <w:tcPr>
            <w:tcW w:type="dxa" w:w="64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Taux de contamination calibré (Isolation Forest et LOF)</w:t>
            </w:r>
          </w:p>
        </w:tc>
        <w:tc>
          <w:tcPr>
            <w:tcW w:type="dxa" w:w="322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4,36 % (calibré sur l'IQR, identique pour les deux méthodes)</w:t>
            </w:r>
          </w:p>
        </w:tc>
      </w:tr>
      <w:tr>
        <w:trPr>
          <w:cantSplit/>
        </w:trPr>
        <w:tc>
          <w:tcPr>
            <w:tcW w:type="dxa" w:w="64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Anomalies détectées par Isolation Forest</w:t>
            </w:r>
          </w:p>
        </w:tc>
        <w:tc>
          <w:tcPr>
            <w:tcW w:type="dxa" w:w="32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32 articles</w:t>
            </w:r>
          </w:p>
        </w:tc>
      </w:tr>
      <w:tr>
        <w:trPr>
          <w:cantSplit/>
        </w:trPr>
        <w:tc>
          <w:tcPr>
            <w:tcW w:type="dxa" w:w="64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Anomalies détectées par Local Outlier Factor</w:t>
            </w:r>
          </w:p>
        </w:tc>
        <w:tc>
          <w:tcPr>
            <w:tcW w:type="dxa" w:w="322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32 articles</w:t>
            </w:r>
          </w:p>
        </w:tc>
      </w:tr>
      <w:tr>
        <w:trPr>
          <w:cantSplit/>
        </w:trPr>
        <w:tc>
          <w:tcPr>
            <w:tcW w:type="dxa" w:w="64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Recouvrement IQR / Isolation Forest (indice de Jaccard)</w:t>
            </w:r>
          </w:p>
        </w:tc>
        <w:tc>
          <w:tcPr>
            <w:tcW w:type="dxa" w:w="32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23,64 % (13 articles en commun)</w:t>
            </w:r>
          </w:p>
        </w:tc>
      </w:tr>
      <w:tr>
        <w:trPr>
          <w:cantSplit/>
        </w:trPr>
        <w:tc>
          <w:tcPr>
            <w:tcW w:type="dxa" w:w="64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Recouvrement IQR / Local Outlier Factor (indice de Jaccard)</w:t>
            </w:r>
          </w:p>
        </w:tc>
        <w:tc>
          <w:tcPr>
            <w:tcW w:type="dxa" w:w="322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7,94 % (5 articles en commun)</w:t>
            </w:r>
          </w:p>
        </w:tc>
      </w:tr>
      <w:tr>
        <w:trPr>
          <w:cantSplit/>
        </w:trPr>
        <w:tc>
          <w:tcPr>
            <w:tcW w:type="dxa" w:w="64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Recouvrement Isolation Forest / Local Outlier Factor (indice de Jaccard)</w:t>
            </w:r>
          </w:p>
        </w:tc>
        <w:tc>
          <w:tcPr>
            <w:tcW w:type="dxa" w:w="32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25,49 % (13 articles en commun)</w:t>
            </w:r>
          </w:p>
        </w:tc>
      </w:tr>
      <w:tr>
        <w:trPr>
          <w:cantSplit/>
        </w:trPr>
        <w:tc>
          <w:tcPr>
            <w:tcW w:type="dxa" w:w="64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Anomalies détectées uniquement par Isolation Forest (invisibles à l'IQR)</w:t>
            </w:r>
          </w:p>
        </w:tc>
        <w:tc>
          <w:tcPr>
            <w:tcW w:type="dxa" w:w="322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19 articles</w:t>
            </w:r>
          </w:p>
        </w:tc>
      </w:tr>
      <w:tr>
        <w:trPr>
          <w:cantSplit/>
        </w:trPr>
        <w:tc>
          <w:tcPr>
            <w:tcW w:type="dxa" w:w="64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Anomalies détectées uniquement par Local Outlier Factor (invisibles à l'IQR)</w:t>
            </w:r>
          </w:p>
        </w:tc>
        <w:tc>
          <w:tcPr>
            <w:tcW w:type="dxa" w:w="32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27 articles</w:t>
            </w:r>
          </w:p>
        </w:tc>
      </w:tr>
      <w:tr>
        <w:trPr>
          <w:cantSplit/>
        </w:trPr>
        <w:tc>
          <w:tcPr>
            <w:tcW w:type="dxa" w:w="64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Anomalies détectées par les trois méthodes à la fois</w:t>
            </w:r>
          </w:p>
        </w:tc>
        <w:tc>
          <w:tcPr>
            <w:tcW w:type="dxa" w:w="322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5 articles</w:t>
            </w:r>
          </w:p>
        </w:tc>
      </w:tr>
      <w:tr>
        <w:trPr>
          <w:cantSplit/>
        </w:trPr>
        <w:tc>
          <w:tcPr>
            <w:tcW w:type="dxa" w:w="64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Temps de calcul mesuré — Isolation Forest</w:t>
            </w:r>
          </w:p>
        </w:tc>
        <w:tc>
          <w:tcPr>
            <w:tcW w:type="dxa" w:w="32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46,9 ms</w:t>
            </w:r>
          </w:p>
        </w:tc>
      </w:tr>
      <w:tr>
        <w:trPr>
          <w:cantSplit/>
        </w:trPr>
        <w:tc>
          <w:tcPr>
            <w:tcW w:type="dxa" w:w="64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Temps de calcul mesuré — Local Outlier Factor</w:t>
            </w:r>
          </w:p>
        </w:tc>
        <w:tc>
          <w:tcPr>
            <w:tcW w:type="dxa" w:w="322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1,7 ms</w:t>
            </w:r>
          </w:p>
        </w:tc>
      </w:tr>
    </w:tbl>
    <w:p>
      <w:pPr>
        <w:keepNext/>
        <w:keepLines/>
        <w:spacing w:after="90" w:before="260"/>
        <w:jc w:val="center"/>
      </w:pPr>
      <w:r>
        <w:drawing>
          <wp:inline distT="0" distB="0" distL="0" distR="0">
            <wp:extent cx="4320007" cy="459460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20007" cy="4594604"/>
                    </a:xfrm>
                    <a:prstGeom prst="rect">
                      <a:avLst/>
                    </a:prstGeom>
                  </pic:spPr>
                </pic:pic>
              </a:graphicData>
            </a:graphic>
          </wp:inline>
        </w:drawing>
      </w:r>
    </w:p>
    <w:p>
      <w:pPr>
        <w:spacing w:after="260"/>
        <w:jc w:val="center"/>
      </w:pPr>
      <w:r>
        <w:rPr>
          <w:rFonts w:ascii="Calibri" w:cs="Calibri" w:eastAsia="Calibri" w:hAnsi="Calibri"/>
          <w:i/>
          <w:iCs/>
          <w:color w:val="5B5F63"/>
          <w:sz w:val="17"/>
          <w:szCs w:val="17"/>
        </w:rPr>
        <w:t xml:space="preserve">Figure 1 — Recouvrement des trois méthodes de détection : ce que l'IQR seul ne voyait pas.</w:t>
      </w:r>
    </w:p>
    <w:p>
      <w:pPr>
        <w:spacing w:after="200" w:before="160"/>
      </w:pPr>
    </w:p>
    <w:tbl>
      <w:tblPr>
        <w:tblW w:type="dxa" w:w="9648"/>
        <w:tblBorders>
          <w:top w:val="single" w:color="1F7A8C" w:sz="4"/>
          <w:left w:val="single" w:color="1F7A8C" w:sz="24"/>
          <w:bottom w:val="single" w:color="1F7A8C" w:sz="4"/>
          <w:right w:val="single" w:color="1F7A8C" w:sz="4"/>
          <w:insideH w:val="none" w:color="FFFFFF" w:sz="0"/>
          <w:insideV w:val="none" w:color="FFFFFF" w:sz="0"/>
        </w:tblBorders>
      </w:tblPr>
      <w:tblGrid>
        <w:gridCol w:w="9648"/>
      </w:tblGrid>
      <w:tr>
        <w:tc>
          <w:tcPr>
            <w:tcW w:type="dxa" w:w="9648"/>
            <w:shd w:fill="FBF3EF" w:color="auto" w:val="clear"/>
            <w:tcMar>
              <w:top w:type="dxa" w:w="160"/>
              <w:left w:type="dxa" w:w="220"/>
              <w:bottom w:type="dxa" w:w="160"/>
              <w:right w:type="dxa" w:w="220"/>
            </w:tcMar>
          </w:tcPr>
          <w:p>
            <w:pPr>
              <w:spacing w:after="40"/>
            </w:pPr>
            <w:r>
              <w:rPr>
                <w:rFonts w:ascii="Calibri" w:cs="Calibri" w:eastAsia="Calibri" w:hAnsi="Calibri"/>
                <w:b/>
                <w:bCs/>
                <w:color w:val="1F7A8C"/>
                <w:spacing w:val="15"/>
                <w:sz w:val="17"/>
                <w:szCs w:val="17"/>
              </w:rPr>
              <w:t xml:space="preserve">LECTURE</w:t>
            </w:r>
          </w:p>
          <w:p>
            <w:r>
              <w:rPr>
                <w:rFonts w:ascii="Calibri" w:cs="Calibri" w:eastAsia="Calibri" w:hAnsi="Calibri"/>
                <w:i/>
                <w:iCs/>
                <w:color w:val="2B2B2B"/>
                <w:sz w:val="21"/>
                <w:szCs w:val="21"/>
              </w:rPr>
              <w:t xml:space="preserve">Isolation Forest et Local Outlier Factor ne détectent presque pas les mêmes articles (25,49 % de recouvrement entre elles). Ensemble, elles révèlent 41 anomalies stock/ventes invisibles à l'analyse univariée du prix du notebook V1 (19 + 27 - 5 en commun aux deux). C'est la preuve chiffrée, concrète, de la limite identifiée en veille technologique. Fait notable : Local Outlier Factor s'est révélée nettement plus rapide qu'Isolation Forest sur ce catalogue (1,7 ms contre 46,9 ms), à rebours de l'avantage théorique de complexité généralement prêté à Isolation Forest — un résultat propre à la petite taille de ce catalogue (825 lignes), documenté tel quel plutôt qu'ignoré.</w:t>
            </w:r>
          </w:p>
        </w:tc>
      </w:tr>
    </w:tbl>
    <w:p>
      <w:pPr>
        <w:pStyle w:val="Heading2"/>
        <w:spacing w:after="140" w:before="300"/>
      </w:pPr>
      <w:r>
        <w:rPr>
          <w:rFonts w:ascii="Calibri" w:cs="Calibri" w:eastAsia="Calibri" w:hAnsi="Calibri"/>
          <w:b/>
          <w:bCs/>
          <w:color w:val="134652"/>
          <w:sz w:val="24"/>
          <w:szCs w:val="24"/>
        </w:rPr>
        <w:t xml:space="preserve">Coût de calcul mesuré</w:t>
      </w:r>
    </w:p>
    <w:p>
      <w:pPr>
        <w:keepNext/>
        <w:keepLines/>
        <w:spacing w:after="90" w:before="260"/>
        <w:jc w:val="center"/>
      </w:pPr>
      <w:r>
        <w:drawing>
          <wp:inline distT="0" distB="0" distL="0" distR="0">
            <wp:extent cx="4320007" cy="16929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20007" cy="1692976"/>
                    </a:xfrm>
                    <a:prstGeom prst="rect">
                      <a:avLst/>
                    </a:prstGeom>
                  </pic:spPr>
                </pic:pic>
              </a:graphicData>
            </a:graphic>
          </wp:inline>
        </w:drawing>
      </w:r>
    </w:p>
    <w:p>
      <w:pPr>
        <w:spacing w:after="260"/>
        <w:jc w:val="center"/>
      </w:pPr>
      <w:r>
        <w:rPr>
          <w:rFonts w:ascii="Calibri" w:cs="Calibri" w:eastAsia="Calibri" w:hAnsi="Calibri"/>
          <w:i/>
          <w:iCs/>
          <w:color w:val="5B5F63"/>
          <w:sz w:val="17"/>
          <w:szCs w:val="17"/>
        </w:rPr>
        <w:t xml:space="preserve">Figure 2 — Temps de calcul mesurés sur les 825 lignes du catalogue : le résultat contredit l'intuition théorique.</w:t>
      </w:r>
    </w:p>
    <w:p>
      <w:pPr>
        <w:spacing w:before="260"/>
      </w:pPr>
    </w:p>
    <w:p>
      <w:pPr>
        <w:pStyle w:val="Heading2"/>
        <w:spacing w:after="140" w:before="300"/>
      </w:pPr>
      <w:r>
        <w:rPr>
          <w:rFonts w:ascii="Calibri" w:cs="Calibri" w:eastAsia="Calibri" w:hAnsi="Calibri"/>
          <w:b/>
          <w:bCs/>
          <w:color w:val="134652"/>
          <w:sz w:val="24"/>
          <w:szCs w:val="24"/>
        </w:rPr>
        <w:t xml:space="preserve">Tests de significativité statistique (Pearson / Spearman)</w:t>
      </w:r>
    </w:p>
    <w:p>
      <w:pPr>
        <w:pStyle w:val="ListParagraph"/>
        <w:numPr>
          <w:ilvl w:val="0"/>
          <w:numId w:val="1"/>
        </w:numPr>
        <w:spacing w:after="100" w:line="290"/>
      </w:pPr>
      <w:r>
        <w:rPr>
          <w:rFonts w:ascii="Calibri" w:cs="Calibri" w:eastAsia="Calibri" w:hAnsi="Calibri"/>
          <w:color w:val="222222"/>
          <w:sz w:val="21"/>
          <w:szCs w:val="21"/>
        </w:rPr>
        <w:t xml:space="preserve">15 paires de variables testées (stock_quantity, total_sales, price, taux_marge, prix_ht, purchase_price)</w:t>
      </w:r>
    </w:p>
    <w:p>
      <w:pPr>
        <w:pStyle w:val="ListParagraph"/>
        <w:numPr>
          <w:ilvl w:val="0"/>
          <w:numId w:val="1"/>
        </w:numPr>
        <w:spacing w:after="100" w:line="290"/>
      </w:pPr>
      <w:r>
        <w:rPr>
          <w:rFonts w:ascii="Calibri" w:cs="Calibri" w:eastAsia="Calibri" w:hAnsi="Calibri"/>
          <w:color w:val="222222"/>
          <w:sz w:val="21"/>
          <w:szCs w:val="21"/>
        </w:rPr>
        <w:t xml:space="preserve">11/15 paires significatives selon Pearson (p &lt; 0,05), 12/15 selon Spearman</w:t>
      </w:r>
    </w:p>
    <w:p>
      <w:pPr>
        <w:spacing w:after="200" w:before="100"/>
      </w:pPr>
    </w:p>
    <w:tbl>
      <w:tblPr>
        <w:tblW w:type="dxa" w:w="9648"/>
        <w:tblBorders>
          <w:top w:val="single" w:color="E8622C" w:sz="4"/>
          <w:left w:val="single" w:color="E8622C" w:sz="24"/>
          <w:bottom w:val="single" w:color="E8622C" w:sz="4"/>
          <w:right w:val="single" w:color="E8622C" w:sz="4"/>
          <w:insideH w:val="none" w:color="FFFFFF" w:sz="0"/>
          <w:insideV w:val="none" w:color="FFFFFF" w:sz="0"/>
        </w:tblBorders>
      </w:tblPr>
      <w:tblGrid>
        <w:gridCol w:w="9648"/>
      </w:tblGrid>
      <w:tr>
        <w:tc>
          <w:tcPr>
            <w:tcW w:type="dxa" w:w="9648"/>
            <w:shd w:fill="FBF3EF" w:color="auto" w:val="clear"/>
            <w:tcMar>
              <w:top w:type="dxa" w:w="160"/>
              <w:left w:type="dxa" w:w="220"/>
              <w:bottom w:type="dxa" w:w="160"/>
              <w:right w:type="dxa" w:w="220"/>
            </w:tcMar>
          </w:tcPr>
          <w:p>
            <w:pPr>
              <w:spacing w:after="40"/>
            </w:pPr>
            <w:r>
              <w:rPr>
                <w:rFonts w:ascii="Calibri" w:cs="Calibri" w:eastAsia="Calibri" w:hAnsi="Calibri"/>
                <w:b/>
                <w:bCs/>
                <w:color w:val="E8622C"/>
                <w:spacing w:val="15"/>
                <w:sz w:val="17"/>
                <w:szCs w:val="17"/>
              </w:rPr>
              <w:t xml:space="preserve">RÉSULTAT NOTABLE</w:t>
            </w:r>
          </w:p>
          <w:p>
            <w:r>
              <w:rPr>
                <w:rFonts w:ascii="Calibri" w:cs="Calibri" w:eastAsia="Calibri" w:hAnsi="Calibri"/>
                <w:i/>
                <w:iCs/>
                <w:color w:val="2B2B2B"/>
                <w:sz w:val="21"/>
                <w:szCs w:val="21"/>
              </w:rPr>
              <w:t xml:space="preserve">stock_quantity vs purchase_price — Pearson r = -0,024 (non significatif, p = 0,52) mais Spearman r = -0,551 (hautement significatif, p &lt; 0,0001). Un simple coefficient de Pearson, comme celui affiché dans la heatmap du V1, aurait conclu à tort à une absence totale de lien entre ces deux variables ; Spearman révèle une relation monotone forte que Pearson ne capture pas.</w:t>
            </w:r>
          </w:p>
        </w:tc>
      </w:tr>
    </w:tbl>
    <w:p>
      <w:pPr>
        <w:spacing w:before="220"/>
      </w:pPr>
    </w:p>
    <w:p>
      <w:pPr>
        <w:spacing w:after="160" w:line="300"/>
      </w:pPr>
      <w:r>
        <w:rPr>
          <w:rFonts w:ascii="Calibri" w:cs="Calibri" w:eastAsia="Calibri" w:hAnsi="Calibri"/>
          <w:b w:val="false"/>
          <w:bCs w:val="false"/>
          <w:i w:val="false"/>
          <w:iCs w:val="false"/>
          <w:color w:val="222222"/>
          <w:sz w:val="21"/>
          <w:szCs w:val="21"/>
        </w:rPr>
        <w:t xml:space="preserve">Les corrélations tarifaires fortes déjà commentées en V1 (price / prix_ht / purchase_price) sont confirmées hautement significatives par les deux tests (p &lt; 0,0001), ce qui valide statistiquement la conclusion déjà tirée dans le notebook original.</w:t>
      </w:r>
    </w:p>
    <w:p>
      <w:pPr>
        <w:pStyle w:val="Heading2"/>
        <w:spacing w:after="140" w:before="300"/>
      </w:pPr>
      <w:r>
        <w:rPr>
          <w:rFonts w:ascii="Calibri" w:cs="Calibri" w:eastAsia="Calibri" w:hAnsi="Calibri"/>
          <w:b/>
          <w:bCs/>
          <w:color w:val="134652"/>
          <w:sz w:val="24"/>
          <w:szCs w:val="24"/>
        </w:rPr>
        <w:t xml:space="preserve">Vérification de la valorisation du stock</w:t>
      </w:r>
    </w:p>
    <w:tbl>
      <w:tblPr>
        <w:tblW w:type="dxa" w:w="9648"/>
        <w:tblBorders>
          <w:top w:val="single" w:color="D5D8DB" w:sz="4"/>
          <w:left w:val="single" w:color="D5D8DB" w:sz="4"/>
          <w:bottom w:val="single" w:color="D5D8DB" w:sz="4"/>
          <w:right w:val="single" w:color="D5D8DB" w:sz="4"/>
          <w:insideH w:val="single" w:color="D5D8DB" w:sz="4"/>
          <w:insideV w:val="single" w:color="D5D8DB" w:sz="4"/>
        </w:tblBorders>
      </w:tblPr>
      <w:tblGrid>
        <w:gridCol w:w="6400"/>
        <w:gridCol w:w="3220"/>
      </w:tblGrid>
      <w:tr>
        <w:trPr>
          <w:cantSplit/>
          <w:tblHeader/>
        </w:trPr>
        <w:tc>
          <w:tcPr>
            <w:tcW w:type="dxa" w:w="640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Indicateur</w:t>
            </w:r>
          </w:p>
        </w:tc>
        <w:tc>
          <w:tcPr>
            <w:tcW w:type="dxa" w:w="322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Valeur</w:t>
            </w:r>
          </w:p>
        </w:tc>
      </w:tr>
      <w:tr>
        <w:trPr>
          <w:cantSplit/>
        </w:trPr>
        <w:tc>
          <w:tcPr>
            <w:tcW w:type="dxa" w:w="64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Valorisation totale du stock (stock_quantity × purchase_price)</w:t>
            </w:r>
          </w:p>
        </w:tc>
        <w:tc>
          <w:tcPr>
            <w:tcW w:type="dxa" w:w="32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298 540,07 € (section V1, inchangée)</w:t>
            </w:r>
          </w:p>
        </w:tc>
      </w:tr>
      <w:tr>
        <w:trPr>
          <w:cantSplit/>
        </w:trPr>
        <w:tc>
          <w:tcPr>
            <w:tcW w:type="dxa" w:w="64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Nombre total d'unités en stock</w:t>
            </w:r>
          </w:p>
        </w:tc>
        <w:tc>
          <w:tcPr>
            <w:tcW w:type="dxa" w:w="322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17 803 unités</w:t>
            </w:r>
          </w:p>
        </w:tc>
      </w:tr>
    </w:tbl>
    <w:p>
      <w:pPr>
        <w:pStyle w:val="Heading1"/>
        <w:pBdr>
          <w:bottom w:val="single" w:color="1F7A8C" w:sz="6" w:space="6"/>
        </w:pBdr>
        <w:spacing w:after="200" w:before="420"/>
      </w:pPr>
      <w:r>
        <w:rPr>
          <w:rFonts w:ascii="Calibri" w:cs="Calibri" w:eastAsia="Calibri" w:hAnsi="Calibri"/>
          <w:b/>
          <w:bCs/>
          <w:color w:val="134652"/>
          <w:sz w:val="30"/>
          <w:szCs w:val="30"/>
        </w:rPr>
        <w:t xml:space="preserve">5. Limites et biais identifiés</w:t>
      </w:r>
    </w:p>
    <w:p>
      <w:pPr>
        <w:pStyle w:val="ListParagraph"/>
        <w:numPr>
          <w:ilvl w:val="0"/>
          <w:numId w:val="1"/>
        </w:numPr>
        <w:spacing w:after="100" w:line="290"/>
      </w:pPr>
      <w:r>
        <w:rPr>
          <w:rFonts w:ascii="Calibri" w:cs="Calibri" w:eastAsia="Calibri" w:hAnsi="Calibri"/>
          <w:b/>
          <w:bCs/>
          <w:color w:val="222222"/>
          <w:sz w:val="21"/>
          <w:szCs w:val="21"/>
        </w:rPr>
        <w:t xml:space="preserve">Taux de contamination hérité d'une méthode univariée : </w:t>
      </w:r>
      <w:r>
        <w:rPr>
          <w:rFonts w:ascii="Calibri" w:cs="Calibri" w:eastAsia="Calibri" w:hAnsi="Calibri"/>
          <w:color w:val="222222"/>
          <w:sz w:val="21"/>
          <w:szCs w:val="21"/>
        </w:rPr>
        <w:t xml:space="preserve">calibrer sur le taux IQR est pragmatique et traçable, mais rien ne garantit que le "vrai" taux d'anomalies multivariées soit identique — hypothèse simplificatrice, explicitée plutôt que masquée.</w:t>
      </w:r>
    </w:p>
    <w:p>
      <w:pPr>
        <w:pStyle w:val="ListParagraph"/>
        <w:numPr>
          <w:ilvl w:val="0"/>
          <w:numId w:val="1"/>
        </w:numPr>
        <w:spacing w:after="100" w:line="290"/>
      </w:pPr>
      <w:r>
        <w:rPr>
          <w:rFonts w:ascii="Calibri" w:cs="Calibri" w:eastAsia="Calibri" w:hAnsi="Calibri"/>
          <w:b/>
          <w:bCs/>
          <w:color w:val="222222"/>
          <w:sz w:val="21"/>
          <w:szCs w:val="21"/>
        </w:rPr>
        <w:t xml:space="preserve">Le recouvrement n'est pas une mesure de précision/rappel : </w:t>
      </w:r>
      <w:r>
        <w:rPr>
          <w:rFonts w:ascii="Calibri" w:cs="Calibri" w:eastAsia="Calibri" w:hAnsi="Calibri"/>
          <w:color w:val="222222"/>
          <w:sz w:val="21"/>
          <w:szCs w:val="21"/>
        </w:rPr>
        <w:t xml:space="preserve">sans vérité terrain, il est impossible de savoir laquelle des méthodes "a raison" — les résultats sont des pistes d'investigation métier, pas des faits établis.</w:t>
      </w:r>
    </w:p>
    <w:p>
      <w:pPr>
        <w:pStyle w:val="ListParagraph"/>
        <w:numPr>
          <w:ilvl w:val="0"/>
          <w:numId w:val="1"/>
        </w:numPr>
        <w:spacing w:after="100" w:line="290"/>
      </w:pPr>
      <w:r>
        <w:rPr>
          <w:rFonts w:ascii="Calibri" w:cs="Calibri" w:eastAsia="Calibri" w:hAnsi="Calibri"/>
          <w:b/>
          <w:bCs/>
          <w:color w:val="222222"/>
          <w:sz w:val="21"/>
          <w:szCs w:val="21"/>
        </w:rPr>
        <w:t xml:space="preserve">Le résultat de temps de calcul n'est pas généralisable : </w:t>
      </w:r>
      <w:r>
        <w:rPr>
          <w:rFonts w:ascii="Calibri" w:cs="Calibri" w:eastAsia="Calibri" w:hAnsi="Calibri"/>
          <w:color w:val="222222"/>
          <w:sz w:val="21"/>
          <w:szCs w:val="21"/>
        </w:rPr>
        <w:t xml:space="preserve">sur un catalogue nettement plus grand, l'avantage théorique de complexité quasi-linéaire d'Isolation Forest sur Local Outlier Factor (O(n²) en implémentation naïve) redeviendrait probablement significatif ; à re-mesurer si le catalogue grossit.</w:t>
      </w:r>
    </w:p>
    <w:p>
      <w:pPr>
        <w:pStyle w:val="ListParagraph"/>
        <w:numPr>
          <w:ilvl w:val="0"/>
          <w:numId w:val="1"/>
        </w:numPr>
        <w:spacing w:after="100" w:line="290"/>
      </w:pPr>
      <w:r>
        <w:rPr>
          <w:rFonts w:ascii="Calibri" w:cs="Calibri" w:eastAsia="Calibri" w:hAnsi="Calibri"/>
          <w:b/>
          <w:bCs/>
          <w:color w:val="222222"/>
          <w:sz w:val="21"/>
          <w:szCs w:val="21"/>
        </w:rPr>
        <w:t xml:space="preserve">Isolation Forest et Local Outlier Factor comparent chaque article au catalogue entier : </w:t>
      </w:r>
      <w:r>
        <w:rPr>
          <w:rFonts w:ascii="Calibri" w:cs="Calibri" w:eastAsia="Calibri" w:hAnsi="Calibri"/>
          <w:color w:val="222222"/>
          <w:sz w:val="21"/>
          <w:szCs w:val="21"/>
        </w:rPr>
        <w:t xml:space="preserve">un grand cru y paraît anormal alors qu'il est banal parmi les grands crus. Les fichiers sources ne portent aucune catégorie de produit, une détection par famille n'est donc pas réalisable en l'état. C'est la qualification métier qui joue ce rôle.</w:t>
      </w:r>
    </w:p>
    <w:p>
      <w:pPr>
        <w:pStyle w:val="ListParagraph"/>
        <w:numPr>
          <w:ilvl w:val="0"/>
          <w:numId w:val="1"/>
        </w:numPr>
        <w:spacing w:after="100" w:line="290"/>
      </w:pPr>
      <w:r>
        <w:rPr>
          <w:rFonts w:ascii="Calibri" w:cs="Calibri" w:eastAsia="Calibri" w:hAnsi="Calibri"/>
          <w:b/>
          <w:bCs/>
          <w:color w:val="222222"/>
          <w:sz w:val="21"/>
          <w:szCs w:val="21"/>
        </w:rPr>
        <w:t xml:space="preserve">Discordance Pearson/Spearman sur stock_quantity vs purchase_price : </w:t>
      </w:r>
      <w:r>
        <w:rPr>
          <w:rFonts w:ascii="Calibri" w:cs="Calibri" w:eastAsia="Calibri" w:hAnsi="Calibri"/>
          <w:color w:val="222222"/>
          <w:sz w:val="21"/>
          <w:szCs w:val="21"/>
        </w:rPr>
        <w:t xml:space="preserve">peut aussi être le symptôme d'une relation influencée par quelques valeurs extrêmes (Grands Crus) plutôt qu'une vraie relation monotone globale — à confirmer par une analyse par segment de prix.</w:t>
      </w:r>
    </w:p>
    <w:p>
      <w:pPr>
        <w:pStyle w:val="ListParagraph"/>
        <w:numPr>
          <w:ilvl w:val="0"/>
          <w:numId w:val="1"/>
        </w:numPr>
        <w:spacing w:after="100" w:line="290"/>
      </w:pPr>
      <w:r>
        <w:rPr>
          <w:rFonts w:ascii="Calibri" w:cs="Calibri" w:eastAsia="Calibri" w:hAnsi="Calibri"/>
          <w:b/>
          <w:bCs/>
          <w:color w:val="222222"/>
          <w:sz w:val="21"/>
          <w:szCs w:val="21"/>
        </w:rPr>
        <w:t xml:space="preserve">13,45 % du catalogue ERP sans correspondance web : </w:t>
      </w:r>
      <w:r>
        <w:rPr>
          <w:rFonts w:ascii="Calibri" w:cs="Calibri" w:eastAsia="Calibri" w:hAnsi="Calibri"/>
          <w:color w:val="222222"/>
          <w:sz w:val="21"/>
          <w:szCs w:val="21"/>
        </w:rPr>
        <w:t xml:space="preserve">toutes les analyses portant sur df_final sont menées sur un sous-ensemble du catalogue, pas sur son intégralité.</w:t>
      </w:r>
    </w:p>
    <w:p>
      <w:pPr>
        <w:pStyle w:val="ListParagraph"/>
        <w:numPr>
          <w:ilvl w:val="0"/>
          <w:numId w:val="1"/>
        </w:numPr>
        <w:spacing w:after="100" w:line="290"/>
      </w:pPr>
      <w:r>
        <w:rPr>
          <w:rFonts w:ascii="Calibri" w:cs="Calibri" w:eastAsia="Calibri" w:hAnsi="Calibri"/>
          <w:b/>
          <w:bCs/>
          <w:color w:val="222222"/>
          <w:sz w:val="21"/>
          <w:szCs w:val="21"/>
        </w:rPr>
        <w:t xml:space="preserve">Aucune donnée temporelle : </w:t>
      </w:r>
      <w:r>
        <w:rPr>
          <w:rFonts w:ascii="Calibri" w:cs="Calibri" w:eastAsia="Calibri" w:hAnsi="Calibri"/>
          <w:color w:val="222222"/>
          <w:sz w:val="21"/>
          <w:szCs w:val="21"/>
        </w:rPr>
        <w:t xml:space="preserve">total_sales est un cumul sans horizon connu ; un article "en anomalie" pourrait simplement être en fin de vie ou en tout début de commercialisation.</w:t>
      </w:r>
    </w:p>
    <w:p>
      <w:pPr>
        <w:pStyle w:val="Heading1"/>
        <w:pBdr>
          <w:bottom w:val="single" w:color="1F7A8C" w:sz="6" w:space="6"/>
        </w:pBdr>
        <w:spacing w:after="200" w:before="420"/>
      </w:pPr>
      <w:r>
        <w:rPr>
          <w:rFonts w:ascii="Calibri" w:cs="Calibri" w:eastAsia="Calibri" w:hAnsi="Calibri"/>
          <w:b/>
          <w:bCs/>
          <w:color w:val="134652"/>
          <w:sz w:val="30"/>
          <w:szCs w:val="30"/>
        </w:rPr>
        <w:t xml:space="preserve">6. Reproductibilité</w:t>
      </w:r>
    </w:p>
    <w:p>
      <w:pPr>
        <w:spacing w:after="160" w:line="300"/>
      </w:pPr>
      <w:r>
        <w:rPr>
          <w:rFonts w:ascii="Calibri" w:cs="Calibri" w:eastAsia="Calibri" w:hAnsi="Calibri"/>
          <w:b/>
          <w:bCs/>
          <w:i w:val="false"/>
          <w:iCs w:val="false"/>
          <w:color w:val="222222"/>
          <w:sz w:val="21"/>
          <w:szCs w:val="21"/>
        </w:rPr>
        <w:t xml:space="preserve">Structure de dossier attendue :</w:t>
      </w:r>
    </w:p>
    <w:p>
      <w:pPr>
        <w:pStyle w:val="ListParagraph"/>
        <w:numPr>
          <w:ilvl w:val="0"/>
          <w:numId w:val="1"/>
        </w:numPr>
        <w:spacing w:after="100" w:line="290"/>
      </w:pPr>
      <w:r>
        <w:rPr>
          <w:rFonts w:ascii="Calibri" w:cs="Calibri" w:eastAsia="Calibri" w:hAnsi="Calibri"/>
          <w:color w:val="222222"/>
          <w:sz w:val="21"/>
          <w:szCs w:val="21"/>
        </w:rPr>
        <w:t xml:space="preserve">Belkacemi_Kawtar_1_notebook_052025.ipynb (original, ne pas modifier)</w:t>
      </w:r>
    </w:p>
    <w:p>
      <w:pPr>
        <w:pStyle w:val="ListParagraph"/>
        <w:numPr>
          <w:ilvl w:val="0"/>
          <w:numId w:val="1"/>
        </w:numPr>
        <w:spacing w:after="100" w:line="290"/>
      </w:pPr>
      <w:r>
        <w:rPr>
          <w:rFonts w:ascii="Calibri" w:cs="Calibri" w:eastAsia="Calibri" w:hAnsi="Calibri"/>
          <w:color w:val="222222"/>
          <w:sz w:val="21"/>
          <w:szCs w:val="21"/>
        </w:rPr>
        <w:t xml:space="preserve">Belkacemi_Kawtar_1_notebook_V2_AMELIORE.ipynb (notebook à exécuter)</w:t>
      </w:r>
    </w:p>
    <w:p>
      <w:pPr>
        <w:pStyle w:val="ListParagraph"/>
        <w:numPr>
          <w:ilvl w:val="0"/>
          <w:numId w:val="1"/>
        </w:numPr>
        <w:spacing w:after="100" w:line="290"/>
      </w:pPr>
      <w:r>
        <w:rPr>
          <w:rFonts w:ascii="Calibri" w:cs="Calibri" w:eastAsia="Calibri" w:hAnsi="Calibri"/>
          <w:color w:val="222222"/>
          <w:sz w:val="21"/>
          <w:szCs w:val="21"/>
        </w:rPr>
        <w:t xml:space="preserve">erp.xlsx, web.xlsx, liaison.xlsx (au même niveau que le notebook)</w:t>
      </w:r>
    </w:p>
    <w:p>
      <w:pPr>
        <w:pStyle w:val="ListParagraph"/>
        <w:numPr>
          <w:ilvl w:val="0"/>
          <w:numId w:val="1"/>
        </w:numPr>
        <w:spacing w:after="100" w:line="290"/>
      </w:pPr>
      <w:r>
        <w:rPr>
          <w:rFonts w:ascii="Calibri" w:cs="Calibri" w:eastAsia="Calibri" w:hAnsi="Calibri"/>
          <w:color w:val="222222"/>
          <w:sz w:val="21"/>
          <w:szCs w:val="21"/>
        </w:rPr>
        <w:t xml:space="preserve">veille_technologique.docx, cahier_des_charges.docx, PROJET_ORGANISATION.docx, README.docx</w:t>
      </w:r>
    </w:p>
    <w:p>
      <w:pPr>
        <w:spacing w:before="160"/>
      </w:pPr>
    </w:p>
    <w:p>
      <w:pPr>
        <w:spacing w:after="160" w:line="300"/>
      </w:pPr>
      <w:r>
        <w:rPr>
          <w:rFonts w:ascii="Calibri" w:cs="Calibri" w:eastAsia="Calibri" w:hAnsi="Calibri"/>
          <w:b/>
          <w:bCs/>
          <w:i w:val="false"/>
          <w:iCs w:val="false"/>
          <w:color w:val="222222"/>
          <w:sz w:val="21"/>
          <w:szCs w:val="21"/>
        </w:rPr>
        <w:t xml:space="preserve">Environnement Python utilisé (Run All réussi, 0 erreur sur 94 cellules de code) :</w:t>
      </w:r>
    </w:p>
    <w:tbl>
      <w:tblPr>
        <w:tblW w:type="dxa" w:w="9648"/>
        <w:tblBorders>
          <w:top w:val="single" w:color="D5D8DB" w:sz="4"/>
          <w:left w:val="single" w:color="D5D8DB" w:sz="4"/>
          <w:bottom w:val="single" w:color="D5D8DB" w:sz="4"/>
          <w:right w:val="single" w:color="D5D8DB" w:sz="4"/>
          <w:insideH w:val="single" w:color="D5D8DB" w:sz="4"/>
          <w:insideV w:val="single" w:color="D5D8DB" w:sz="4"/>
        </w:tblBorders>
      </w:tblPr>
      <w:tblGrid>
        <w:gridCol w:w="4400"/>
        <w:gridCol w:w="5220"/>
      </w:tblGrid>
      <w:tr>
        <w:trPr>
          <w:cantSplit/>
          <w:tblHeader/>
        </w:trPr>
        <w:tc>
          <w:tcPr>
            <w:tcW w:type="dxa" w:w="440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Composant</w:t>
            </w:r>
          </w:p>
        </w:tc>
        <w:tc>
          <w:tcPr>
            <w:tcW w:type="dxa" w:w="522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Version</w:t>
            </w:r>
          </w:p>
        </w:tc>
      </w:tr>
      <w:tr>
        <w:trPr>
          <w:cantSplit/>
        </w:trPr>
        <w:tc>
          <w:tcPr>
            <w:tcW w:type="dxa" w:w="44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Python</w:t>
            </w:r>
          </w:p>
        </w:tc>
        <w:tc>
          <w:tcPr>
            <w:tcW w:type="dxa" w:w="52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3.14.4</w:t>
            </w:r>
          </w:p>
        </w:tc>
      </w:tr>
      <w:tr>
        <w:trPr>
          <w:cantSplit/>
        </w:trPr>
        <w:tc>
          <w:tcPr>
            <w:tcW w:type="dxa" w:w="44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pandas</w:t>
            </w:r>
          </w:p>
        </w:tc>
        <w:tc>
          <w:tcPr>
            <w:tcW w:type="dxa" w:w="522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3.0.5</w:t>
            </w:r>
          </w:p>
        </w:tc>
      </w:tr>
      <w:tr>
        <w:trPr>
          <w:cantSplit/>
        </w:trPr>
        <w:tc>
          <w:tcPr>
            <w:tcW w:type="dxa" w:w="44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numpy</w:t>
            </w:r>
          </w:p>
        </w:tc>
        <w:tc>
          <w:tcPr>
            <w:tcW w:type="dxa" w:w="52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2.5.1</w:t>
            </w:r>
          </w:p>
        </w:tc>
      </w:tr>
      <w:tr>
        <w:trPr>
          <w:cantSplit/>
        </w:trPr>
        <w:tc>
          <w:tcPr>
            <w:tcW w:type="dxa" w:w="44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scikit-learn</w:t>
            </w:r>
          </w:p>
        </w:tc>
        <w:tc>
          <w:tcPr>
            <w:tcW w:type="dxa" w:w="522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1.9.0</w:t>
            </w:r>
          </w:p>
        </w:tc>
      </w:tr>
      <w:tr>
        <w:trPr>
          <w:cantSplit/>
        </w:trPr>
        <w:tc>
          <w:tcPr>
            <w:tcW w:type="dxa" w:w="44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scipy</w:t>
            </w:r>
          </w:p>
        </w:tc>
        <w:tc>
          <w:tcPr>
            <w:tcW w:type="dxa" w:w="52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1.18.0</w:t>
            </w:r>
          </w:p>
        </w:tc>
      </w:tr>
      <w:tr>
        <w:trPr>
          <w:cantSplit/>
        </w:trPr>
        <w:tc>
          <w:tcPr>
            <w:tcW w:type="dxa" w:w="44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plotly</w:t>
            </w:r>
          </w:p>
        </w:tc>
        <w:tc>
          <w:tcPr>
            <w:tcW w:type="dxa" w:w="522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6.9.0</w:t>
            </w:r>
          </w:p>
        </w:tc>
      </w:tr>
      <w:tr>
        <w:trPr>
          <w:cantSplit/>
        </w:trPr>
        <w:tc>
          <w:tcPr>
            <w:tcW w:type="dxa" w:w="44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matplotlib</w:t>
            </w:r>
          </w:p>
        </w:tc>
        <w:tc>
          <w:tcPr>
            <w:tcW w:type="dxa" w:w="52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3.11.1</w:t>
            </w:r>
          </w:p>
        </w:tc>
      </w:tr>
      <w:tr>
        <w:trPr>
          <w:cantSplit/>
        </w:trPr>
        <w:tc>
          <w:tcPr>
            <w:tcW w:type="dxa" w:w="44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seaborn</w:t>
            </w:r>
          </w:p>
        </w:tc>
        <w:tc>
          <w:tcPr>
            <w:tcW w:type="dxa" w:w="522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0.13.2</w:t>
            </w:r>
          </w:p>
        </w:tc>
      </w:tr>
      <w:tr>
        <w:trPr>
          <w:cantSplit/>
        </w:trPr>
        <w:tc>
          <w:tcPr>
            <w:tcW w:type="dxa" w:w="44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openpyxl</w:t>
            </w:r>
          </w:p>
        </w:tc>
        <w:tc>
          <w:tcPr>
            <w:tcW w:type="dxa" w:w="52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3.1.5</w:t>
            </w:r>
          </w:p>
        </w:tc>
      </w:tr>
      <w:tr>
        <w:trPr>
          <w:cantSplit/>
        </w:trPr>
        <w:tc>
          <w:tcPr>
            <w:tcW w:type="dxa" w:w="44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xlsxwriter</w:t>
            </w:r>
          </w:p>
        </w:tc>
        <w:tc>
          <w:tcPr>
            <w:tcW w:type="dxa" w:w="522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3.2.9</w:t>
            </w:r>
          </w:p>
        </w:tc>
      </w:tr>
      <w:tr>
        <w:trPr>
          <w:cantSplit/>
        </w:trPr>
        <w:tc>
          <w:tcPr>
            <w:tcW w:type="dxa" w:w="44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nbconvert</w:t>
            </w:r>
          </w:p>
        </w:tc>
        <w:tc>
          <w:tcPr>
            <w:tcW w:type="dxa" w:w="52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7.17.1</w:t>
            </w:r>
          </w:p>
        </w:tc>
      </w:tr>
    </w:tbl>
    <w:p>
      <w:pPr>
        <w:spacing w:before="200"/>
      </w:pPr>
    </w:p>
    <w:p>
      <w:pPr>
        <w:spacing w:after="160" w:line="300"/>
      </w:pPr>
      <w:r>
        <w:rPr>
          <w:rFonts w:ascii="Calibri" w:cs="Calibri" w:eastAsia="Calibri" w:hAnsi="Calibri"/>
          <w:b/>
          <w:bCs/>
          <w:i w:val="false"/>
          <w:iCs w:val="false"/>
          <w:color w:val="222222"/>
          <w:sz w:val="21"/>
          <w:szCs w:val="21"/>
        </w:rPr>
        <w:t xml:space="preserve">Pour exécuter le notebook : </w:t>
      </w:r>
    </w:p>
    <w:p>
      <w:pPr>
        <w:shd w:fill="EDEFF1" w:color="auto" w:val="clear"/>
        <w:spacing w:after="200"/>
      </w:pPr>
      <w:r>
        <w:rPr>
          <w:rFonts w:ascii="Consolas" w:cs="Consolas" w:eastAsia="Consolas" w:hAnsi="Consolas"/>
          <w:color w:val="2B2B2B"/>
          <w:sz w:val="17"/>
          <w:szCs w:val="17"/>
        </w:rPr>
        <w:t xml:space="preserve">python3 -m venv .venv_notebook &amp;&amp; source .venv_notebook/bin/activate &amp;&amp; pip install jupyter nbconvert pandas numpy scikit-learn scipy openpyxl matplotlib seaborn plotly xlsxwriter &amp;&amp; jupyter nbconvert --to notebook --execute --inplace Belkacemi_Kawtar_1_notebook_V2_AMELIORE.ipynb</w:t>
      </w:r>
    </w:p>
    <w:p>
      <w:pPr>
        <w:spacing w:after="160" w:line="300"/>
      </w:pPr>
      <w:r>
        <w:rPr>
          <w:rFonts w:ascii="Calibri" w:cs="Calibri" w:eastAsia="Calibri" w:hAnsi="Calibri"/>
          <w:b/>
          <w:bCs/>
          <w:i w:val="false"/>
          <w:iCs w:val="false"/>
          <w:color w:val="222222"/>
          <w:sz w:val="21"/>
          <w:szCs w:val="21"/>
        </w:rPr>
        <w:t xml:space="preserve">Temps d'exécution réel (Run All, poste standard) : </w:t>
      </w:r>
      <w:r>
        <w:rPr>
          <w:rFonts w:ascii="Calibri" w:cs="Calibri" w:eastAsia="Calibri" w:hAnsi="Calibri"/>
          <w:b w:val="false"/>
          <w:bCs w:val="false"/>
          <w:i w:val="false"/>
          <w:iCs w:val="false"/>
          <w:color w:val="222222"/>
          <w:sz w:val="21"/>
          <w:szCs w:val="21"/>
        </w:rPr>
        <w:t xml:space="preserve">environ 5 secondes. Très en dessous de la cible de 5 minutes fixée en critère de réussite opérationnel.</w:t>
      </w:r>
    </w:p>
    <w:p>
      <w:pPr>
        <w:pStyle w:val="Heading1"/>
        <w:pBdr>
          <w:bottom w:val="single" w:color="1F7A8C" w:sz="6" w:space="6"/>
        </w:pBdr>
        <w:spacing w:after="200" w:before="420"/>
      </w:pPr>
      <w:r>
        <w:rPr>
          <w:rFonts w:ascii="Calibri" w:cs="Calibri" w:eastAsia="Calibri" w:hAnsi="Calibri"/>
          <w:b/>
          <w:bCs/>
          <w:color w:val="134652"/>
          <w:sz w:val="30"/>
          <w:szCs w:val="30"/>
        </w:rPr>
        <w:t xml:space="preserve">7. Traçabilité des essais IA</w:t>
      </w:r>
    </w:p>
    <w:p>
      <w:pPr>
        <w:spacing w:after="160" w:line="300"/>
      </w:pPr>
      <w:r>
        <w:rPr>
          <w:rFonts w:ascii="Calibri" w:cs="Calibri" w:eastAsia="Calibri" w:hAnsi="Calibri"/>
          <w:b w:val="false"/>
          <w:bCs w:val="false"/>
          <w:i w:val="false"/>
          <w:iCs w:val="false"/>
          <w:color w:val="222222"/>
          <w:sz w:val="21"/>
          <w:szCs w:val="21"/>
        </w:rPr>
        <w:t xml:space="preserve">Le notebook amélioré a été produit avec l'appui d'un assistant de code. Cette section trace cet usage : ce qui a été demandé, ce qui a été obtenu, ce qui a été retenu et pourquoi. Les formulations sont rédigées ; les options, les résultats et les décisions sont ceux effectivement consignés au fil du projet.</w:t>
      </w:r>
    </w:p>
    <w:p>
      <w:pPr>
        <w:pStyle w:val="Heading2"/>
        <w:spacing w:after="140" w:before="300"/>
      </w:pPr>
      <w:r>
        <w:rPr>
          <w:rFonts w:ascii="Calibri" w:cs="Calibri" w:eastAsia="Calibri" w:hAnsi="Calibri"/>
          <w:b/>
          <w:bCs/>
          <w:color w:val="134652"/>
          <w:sz w:val="24"/>
          <w:szCs w:val="24"/>
        </w:rPr>
        <w:t xml:space="preserve">Outil et cadre d'usage</w:t>
      </w:r>
    </w:p>
    <w:p>
      <w:pPr>
        <w:pStyle w:val="ListParagraph"/>
        <w:numPr>
          <w:ilvl w:val="0"/>
          <w:numId w:val="1"/>
        </w:numPr>
        <w:spacing w:after="100" w:line="290"/>
      </w:pPr>
      <w:r>
        <w:rPr>
          <w:rFonts w:ascii="Calibri" w:cs="Calibri" w:eastAsia="Calibri" w:hAnsi="Calibri"/>
          <w:b/>
          <w:bCs/>
          <w:color w:val="222222"/>
          <w:sz w:val="21"/>
          <w:szCs w:val="21"/>
        </w:rPr>
        <w:t xml:space="preserve">Outil : </w:t>
      </w:r>
      <w:r>
        <w:rPr>
          <w:rFonts w:ascii="Calibri" w:cs="Calibri" w:eastAsia="Calibri" w:hAnsi="Calibri"/>
          <w:color w:val="222222"/>
          <w:sz w:val="21"/>
          <w:szCs w:val="21"/>
        </w:rPr>
        <w:t xml:space="preserve">Claude (assistant de code), utilisé en appui sur la reconstruction du notebook, la validation statistique et la rédaction documentaire.</w:t>
      </w:r>
    </w:p>
    <w:p>
      <w:pPr>
        <w:pStyle w:val="ListParagraph"/>
        <w:numPr>
          <w:ilvl w:val="0"/>
          <w:numId w:val="1"/>
        </w:numPr>
        <w:spacing w:after="100" w:line="290"/>
      </w:pPr>
      <w:r>
        <w:rPr>
          <w:rFonts w:ascii="Calibri" w:cs="Calibri" w:eastAsia="Calibri" w:hAnsi="Calibri"/>
          <w:b/>
          <w:bCs/>
          <w:color w:val="222222"/>
          <w:sz w:val="21"/>
          <w:szCs w:val="21"/>
        </w:rPr>
        <w:t xml:space="preserve">Confidentialité : </w:t>
      </w:r>
      <w:r>
        <w:rPr>
          <w:rFonts w:ascii="Calibri" w:cs="Calibri" w:eastAsia="Calibri" w:hAnsi="Calibri"/>
          <w:color w:val="222222"/>
          <w:sz w:val="21"/>
          <w:szCs w:val="21"/>
        </w:rPr>
        <w:t xml:space="preserve">aucune donnée source transmise à un service externe. Le périmètre ne contient aucune donnée à caractère personnel et le traitement s'exécute en local.</w:t>
      </w:r>
    </w:p>
    <w:p>
      <w:pPr>
        <w:pStyle w:val="ListParagraph"/>
        <w:numPr>
          <w:ilvl w:val="0"/>
          <w:numId w:val="1"/>
        </w:numPr>
        <w:spacing w:after="100" w:line="290"/>
      </w:pPr>
      <w:r>
        <w:rPr>
          <w:rFonts w:ascii="Calibri" w:cs="Calibri" w:eastAsia="Calibri" w:hAnsi="Calibri"/>
          <w:b/>
          <w:bCs/>
          <w:color w:val="222222"/>
          <w:sz w:val="21"/>
          <w:szCs w:val="21"/>
        </w:rPr>
        <w:t xml:space="preserve">Règle appliquée : </w:t>
      </w:r>
      <w:r>
        <w:rPr>
          <w:rFonts w:ascii="Calibri" w:cs="Calibri" w:eastAsia="Calibri" w:hAnsi="Calibri"/>
          <w:color w:val="222222"/>
          <w:sz w:val="21"/>
          <w:szCs w:val="21"/>
        </w:rPr>
        <w:t xml:space="preserve">aucun résultat produit n'est retenu sans exécution ou rendu préalable. Cette règle figure dans les demandes elles-mêmes, et non ajoutée après coup.</w:t>
      </w:r>
    </w:p>
    <w:p>
      <w:r>
        <w:br w:type="page"/>
      </w:r>
    </w:p>
    <w:p>
      <w:pPr>
        <w:pStyle w:val="Heading2"/>
        <w:spacing w:after="140" w:before="300"/>
      </w:pPr>
      <w:r>
        <w:rPr>
          <w:rFonts w:ascii="Calibri" w:cs="Calibri" w:eastAsia="Calibri" w:hAnsi="Calibri"/>
          <w:b/>
          <w:bCs/>
          <w:color w:val="134652"/>
          <w:sz w:val="24"/>
          <w:szCs w:val="24"/>
        </w:rPr>
        <w:t xml:space="preserve">Essais portant sur le notebook</w:t>
      </w:r>
    </w:p>
    <w:tbl>
      <w:tblPr>
        <w:tblW w:type="dxa" w:w="9648"/>
        <w:tblBorders>
          <w:top w:val="single" w:color="D5D8DB" w:sz="4"/>
          <w:left w:val="single" w:color="D5D8DB" w:sz="4"/>
          <w:bottom w:val="single" w:color="D5D8DB" w:sz="4"/>
          <w:right w:val="single" w:color="D5D8DB" w:sz="4"/>
          <w:insideH w:val="single" w:color="D5D8DB" w:sz="4"/>
          <w:insideV w:val="single" w:color="D5D8DB" w:sz="4"/>
        </w:tblBorders>
      </w:tblPr>
      <w:tblGrid>
        <w:gridCol w:w="2000"/>
        <w:gridCol w:w="2300"/>
        <w:gridCol w:w="2800"/>
        <w:gridCol w:w="2548"/>
      </w:tblGrid>
      <w:tr>
        <w:trPr>
          <w:cantSplit/>
          <w:tblHeader/>
        </w:trPr>
        <w:tc>
          <w:tcPr>
            <w:tcW w:type="dxa" w:w="200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Essai</w:t>
            </w:r>
          </w:p>
        </w:tc>
        <w:tc>
          <w:tcPr>
            <w:tcW w:type="dxa" w:w="230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Options instruites</w:t>
            </w:r>
          </w:p>
        </w:tc>
        <w:tc>
          <w:tcPr>
            <w:tcW w:type="dxa" w:w="280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Résultat obtenu</w:t>
            </w:r>
          </w:p>
        </w:tc>
        <w:tc>
          <w:tcPr>
            <w:tcW w:type="dxa" w:w="2548"/>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Décision</w:t>
            </w:r>
          </w:p>
        </w:tc>
      </w:tr>
      <w:tr>
        <w:trPr>
          <w:cantSplit/>
        </w:trPr>
        <w:tc>
          <w:tcPr>
            <w:tcW w:type="dxa" w:w="20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1 — Exécutabilité du notebook</w:t>
            </w:r>
          </w:p>
        </w:tc>
        <w:tc>
          <w:tcPr>
            <w:tcW w:type="dxa" w:w="23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Conserver la version proposée / reconstruire depuis le notebook d'origine</w:t>
            </w:r>
          </w:p>
        </w:tc>
        <w:tc>
          <w:tcPr>
            <w:tcW w:type="dxa" w:w="28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La version proposée n'avait jamais été exécutée : 17 cellules corrompues, chemins absolus hérités d'un autre poste</w:t>
            </w:r>
          </w:p>
        </w:tc>
        <w:tc>
          <w:tcPr>
            <w:tcW w:type="dxa" w:w="2548"/>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Reconstruction depuis le notebook d'origine, par insertion. Exécution complète validée : 0 erreur sur 94 cellules</w:t>
            </w:r>
          </w:p>
        </w:tc>
      </w:tr>
      <w:tr>
        <w:trPr>
          <w:cantSplit/>
        </w:trPr>
        <w:tc>
          <w:tcPr>
            <w:tcW w:type="dxa" w:w="20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2 — Détection d'anomalies multivariée</w:t>
            </w:r>
          </w:p>
        </w:tc>
        <w:tc>
          <w:tcPr>
            <w:tcW w:type="dxa" w:w="23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Isolation Forest / Local Outlier Factor / One-Class SVM</w:t>
            </w:r>
          </w:p>
        </w:tc>
        <w:tc>
          <w:tcPr>
            <w:tcW w:type="dxa" w:w="28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Trois méthodes instruites, deux implémentées et exécutées sur les données réelles ; recouvrements avec l'IQR et temps de calcul mesurés</w:t>
            </w:r>
          </w:p>
        </w:tc>
        <w:tc>
          <w:tcPr>
            <w:tcW w:type="dxa" w:w="2548"/>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Isolation Forest retenue. One-Class SVM non retenue avant implémentation : coût de réglage injustifié à 825 références</w:t>
            </w:r>
          </w:p>
        </w:tc>
      </w:tr>
      <w:tr>
        <w:trPr>
          <w:cantSplit/>
        </w:trPr>
        <w:tc>
          <w:tcPr>
            <w:tcW w:type="dxa" w:w="20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3 — Significativité des corrélations</w:t>
            </w:r>
          </w:p>
        </w:tc>
        <w:tc>
          <w:tcPr>
            <w:tcW w:type="dxa" w:w="23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Pearson seul / Spearman seul / les deux</w:t>
            </w:r>
          </w:p>
        </w:tc>
        <w:tc>
          <w:tcPr>
            <w:tcW w:type="dxa" w:w="28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15 paires testées : 11 significatives selon Pearson, 12 selon Spearman, une divergence majeure identifiée</w:t>
            </w:r>
          </w:p>
        </w:tc>
        <w:tc>
          <w:tcPr>
            <w:tcW w:type="dxa" w:w="2548"/>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Les deux retenus. Arbitrage confirmé par le résultat : stock_quantity / purchase_price est invisible à Pearson et hautement significatif en Spearman</w:t>
            </w:r>
          </w:p>
        </w:tc>
      </w:tr>
      <w:tr>
        <w:trPr>
          <w:cantSplit/>
        </w:trPr>
        <w:tc>
          <w:tcPr>
            <w:tcW w:type="dxa" w:w="20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4 — Portabilité et reproductibilité</w:t>
            </w:r>
          </w:p>
        </w:tc>
        <w:tc>
          <w:tcPr>
            <w:tcW w:type="dxa" w:w="23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Chemins absolus conservés / chemins relatifs et environnement consigné</w:t>
            </w:r>
          </w:p>
        </w:tc>
        <w:tc>
          <w:tcPr>
            <w:tcW w:type="dxa" w:w="28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Chemins d'origine remplacés, exécution vérifiée depuis un dossier déplacé, valorisation contrôlée sur purchase_price</w:t>
            </w:r>
          </w:p>
        </w:tc>
        <w:tc>
          <w:tcPr>
            <w:tcW w:type="dxa" w:w="2548"/>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Chemins relatifs, random_state figé, versions de Python et des bibliothèques consignées (§6)</w:t>
            </w:r>
          </w:p>
        </w:tc>
      </w:tr>
    </w:tbl>
    <w:p>
      <w:pPr>
        <w:pStyle w:val="Heading2"/>
        <w:spacing w:after="140" w:before="300"/>
      </w:pPr>
      <w:r>
        <w:rPr>
          <w:rFonts w:ascii="Calibri" w:cs="Calibri" w:eastAsia="Calibri" w:hAnsi="Calibri"/>
          <w:b/>
          <w:bCs/>
          <w:color w:val="134652"/>
          <w:sz w:val="24"/>
          <w:szCs w:val="24"/>
        </w:rPr>
        <w:t xml:space="preserve">Formulations des demandes</w:t>
      </w:r>
    </w:p>
    <w:tbl>
      <w:tblPr>
        <w:tblW w:type="dxa" w:w="9648"/>
        <w:tblBorders>
          <w:top w:val="single" w:color="1F7A8C" w:sz="4"/>
          <w:left w:val="single" w:color="1F7A8C" w:sz="24"/>
          <w:bottom w:val="single" w:color="1F7A8C" w:sz="4"/>
          <w:right w:val="single" w:color="1F7A8C" w:sz="4"/>
          <w:insideH w:val="none" w:color="FFFFFF" w:sz="0"/>
          <w:insideV w:val="none" w:color="FFFFFF" w:sz="0"/>
        </w:tblBorders>
      </w:tblPr>
      <w:tblGrid>
        <w:gridCol w:w="9648"/>
      </w:tblGrid>
      <w:tr>
        <w:tc>
          <w:tcPr>
            <w:tcW w:type="dxa" w:w="9648"/>
            <w:shd w:fill="FBF3EF" w:color="auto" w:val="clear"/>
            <w:tcMar>
              <w:top w:type="dxa" w:w="160"/>
              <w:left w:type="dxa" w:w="220"/>
              <w:bottom w:type="dxa" w:w="160"/>
              <w:right w:type="dxa" w:w="220"/>
            </w:tcMar>
          </w:tcPr>
          <w:p>
            <w:pPr>
              <w:spacing w:after="40"/>
            </w:pPr>
            <w:r>
              <w:rPr>
                <w:rFonts w:ascii="Calibri" w:cs="Calibri" w:eastAsia="Calibri" w:hAnsi="Calibri"/>
                <w:b/>
                <w:bCs/>
                <w:color w:val="1F7A8C"/>
                <w:spacing w:val="15"/>
                <w:sz w:val="17"/>
                <w:szCs w:val="17"/>
              </w:rPr>
              <w:t xml:space="preserve">ESSAI 1 — EXÉCUTABILITÉ</w:t>
            </w:r>
          </w:p>
          <w:p>
            <w:r>
              <w:rPr>
                <w:rFonts w:ascii="Calibri" w:cs="Calibri" w:eastAsia="Calibri" w:hAnsi="Calibri"/>
                <w:i/>
                <w:iCs/>
                <w:color w:val="2B2B2B"/>
                <w:sz w:val="21"/>
                <w:szCs w:val="21"/>
              </w:rPr>
              <w:t xml:space="preserve">Voici Belkacemi_Kawtar_1_notebook_052025.ipynb et ses trois sources erp.xlsx, web.xlsx, liaison.xlsx. Avant de modifier quoi que ce soit, exécute le notebook de bout en bout et rends-moi le compte rendu : nombre de cellules, erreurs, temps total. Ne me dis pas qu'il fonctionne sans l'avoir exécuté. S'il ne s'exécute pas en l'état, repars de ce fichier d'origine et construis la version améliorée par insertion, en conservant à l'identique toutes les sections et conclusions existantes.</w:t>
            </w:r>
          </w:p>
        </w:tc>
      </w:tr>
    </w:tbl>
    <w:p>
      <w:pPr>
        <w:spacing w:before="180"/>
      </w:pPr>
    </w:p>
    <w:tbl>
      <w:tblPr>
        <w:tblW w:type="dxa" w:w="9648"/>
        <w:tblBorders>
          <w:top w:val="single" w:color="1F7A8C" w:sz="4"/>
          <w:left w:val="single" w:color="1F7A8C" w:sz="24"/>
          <w:bottom w:val="single" w:color="1F7A8C" w:sz="4"/>
          <w:right w:val="single" w:color="1F7A8C" w:sz="4"/>
          <w:insideH w:val="none" w:color="FFFFFF" w:sz="0"/>
          <w:insideV w:val="none" w:color="FFFFFF" w:sz="0"/>
        </w:tblBorders>
      </w:tblPr>
      <w:tblGrid>
        <w:gridCol w:w="9648"/>
      </w:tblGrid>
      <w:tr>
        <w:tc>
          <w:tcPr>
            <w:tcW w:type="dxa" w:w="9648"/>
            <w:shd w:fill="FBF3EF" w:color="auto" w:val="clear"/>
            <w:tcMar>
              <w:top w:type="dxa" w:w="160"/>
              <w:left w:type="dxa" w:w="220"/>
              <w:bottom w:type="dxa" w:w="160"/>
              <w:right w:type="dxa" w:w="220"/>
            </w:tcMar>
          </w:tcPr>
          <w:p>
            <w:pPr>
              <w:spacing w:after="40"/>
            </w:pPr>
            <w:r>
              <w:rPr>
                <w:rFonts w:ascii="Calibri" w:cs="Calibri" w:eastAsia="Calibri" w:hAnsi="Calibri"/>
                <w:b/>
                <w:bCs/>
                <w:color w:val="1F7A8C"/>
                <w:spacing w:val="15"/>
                <w:sz w:val="17"/>
                <w:szCs w:val="17"/>
              </w:rPr>
              <w:t xml:space="preserve">ESSAI 2 — DÉTECTION D'ANOMALIES</w:t>
            </w:r>
          </w:p>
          <w:p>
            <w:r>
              <w:rPr>
                <w:rFonts w:ascii="Calibri" w:cs="Calibri" w:eastAsia="Calibri" w:hAnsi="Calibri"/>
                <w:i/>
                <w:iCs/>
                <w:color w:val="2B2B2B"/>
                <w:sz w:val="21"/>
                <w:szCs w:val="21"/>
              </w:rPr>
              <w:t xml:space="preserve">À l'étape 4.2, le notebook ne détecte les valeurs aberrantes que sur price, en univarié (Z-score puis IQR). Un article dont le prix est normal mais dont la combinaison stock/ventes est atypique est invisible. Identifie les méthodes de détection multivariée disponibles dans scikit-learn et adaptées à un catalogue de 825 références décrit par price, stock_quantity et total_sales. Pour chacune : principe, cas d'usage, avantages, limites, prérequis, source. Compare-les sur qualité, robustesse et biais, coût de calcul, reproductibilité, conformité, maintenabilité. N'implémente rien avant que la comparaison soit écrite.</w:t>
            </w:r>
          </w:p>
        </w:tc>
      </w:tr>
    </w:tbl>
    <w:p>
      <w:pPr>
        <w:spacing w:before="180"/>
      </w:pPr>
    </w:p>
    <w:tbl>
      <w:tblPr>
        <w:tblW w:type="dxa" w:w="9648"/>
        <w:tblBorders>
          <w:top w:val="single" w:color="1F7A8C" w:sz="4"/>
          <w:left w:val="single" w:color="1F7A8C" w:sz="24"/>
          <w:bottom w:val="single" w:color="1F7A8C" w:sz="4"/>
          <w:right w:val="single" w:color="1F7A8C" w:sz="4"/>
          <w:insideH w:val="none" w:color="FFFFFF" w:sz="0"/>
          <w:insideV w:val="none" w:color="FFFFFF" w:sz="0"/>
        </w:tblBorders>
      </w:tblPr>
      <w:tblGrid>
        <w:gridCol w:w="9648"/>
      </w:tblGrid>
      <w:tr>
        <w:tc>
          <w:tcPr>
            <w:tcW w:type="dxa" w:w="9648"/>
            <w:shd w:fill="FBF3EF" w:color="auto" w:val="clear"/>
            <w:tcMar>
              <w:top w:type="dxa" w:w="160"/>
              <w:left w:type="dxa" w:w="220"/>
              <w:bottom w:type="dxa" w:w="160"/>
              <w:right w:type="dxa" w:w="220"/>
            </w:tcMar>
          </w:tcPr>
          <w:p>
            <w:pPr>
              <w:spacing w:after="40"/>
            </w:pPr>
            <w:r>
              <w:rPr>
                <w:rFonts w:ascii="Calibri" w:cs="Calibri" w:eastAsia="Calibri" w:hAnsi="Calibri"/>
                <w:b/>
                <w:bCs/>
                <w:color w:val="1F7A8C"/>
                <w:spacing w:val="15"/>
                <w:sz w:val="17"/>
                <w:szCs w:val="17"/>
              </w:rPr>
              <w:t xml:space="preserve">ESSAI 2 · RELANCE</w:t>
            </w:r>
          </w:p>
          <w:p>
            <w:r>
              <w:rPr>
                <w:rFonts w:ascii="Calibri" w:cs="Calibri" w:eastAsia="Calibri" w:hAnsi="Calibri"/>
                <w:i/>
                <w:iCs/>
                <w:color w:val="2B2B2B"/>
                <w:sz w:val="21"/>
                <w:szCs w:val="21"/>
              </w:rPr>
              <w:t xml:space="preserve">Implémente les deux méthodes retenues. Standardise les variables, calibre la contamination sur le taux d'outliers déjà obtenu par l'IQR pour que la comparaison soit équitable, fixe random_state=42, et mesure les temps de calcul au lieu de les estimer. Donne les taux de recouvrement entre les trois méthodes et le nombre d'articles que chacune est seule à signaler.</w:t>
            </w:r>
          </w:p>
        </w:tc>
      </w:tr>
    </w:tbl>
    <w:p>
      <w:pPr>
        <w:spacing w:before="180"/>
      </w:pPr>
    </w:p>
    <w:tbl>
      <w:tblPr>
        <w:tblW w:type="dxa" w:w="9648"/>
        <w:tblBorders>
          <w:top w:val="single" w:color="1F7A8C" w:sz="4"/>
          <w:left w:val="single" w:color="1F7A8C" w:sz="24"/>
          <w:bottom w:val="single" w:color="1F7A8C" w:sz="4"/>
          <w:right w:val="single" w:color="1F7A8C" w:sz="4"/>
          <w:insideH w:val="none" w:color="FFFFFF" w:sz="0"/>
          <w:insideV w:val="none" w:color="FFFFFF" w:sz="0"/>
        </w:tblBorders>
      </w:tblPr>
      <w:tblGrid>
        <w:gridCol w:w="9648"/>
      </w:tblGrid>
      <w:tr>
        <w:tc>
          <w:tcPr>
            <w:tcW w:type="dxa" w:w="9648"/>
            <w:shd w:fill="FBF3EF" w:color="auto" w:val="clear"/>
            <w:tcMar>
              <w:top w:type="dxa" w:w="160"/>
              <w:left w:type="dxa" w:w="220"/>
              <w:bottom w:type="dxa" w:w="160"/>
              <w:right w:type="dxa" w:w="220"/>
            </w:tcMar>
          </w:tcPr>
          <w:p>
            <w:pPr>
              <w:spacing w:after="40"/>
            </w:pPr>
            <w:r>
              <w:rPr>
                <w:rFonts w:ascii="Calibri" w:cs="Calibri" w:eastAsia="Calibri" w:hAnsi="Calibri"/>
                <w:b/>
                <w:bCs/>
                <w:color w:val="1F7A8C"/>
                <w:spacing w:val="15"/>
                <w:sz w:val="17"/>
                <w:szCs w:val="17"/>
              </w:rPr>
              <w:t xml:space="preserve">ESSAI 3 — SIGNIFICATIVITÉ</w:t>
            </w:r>
          </w:p>
          <w:p>
            <w:r>
              <w:rPr>
                <w:rFonts w:ascii="Calibri" w:cs="Calibri" w:eastAsia="Calibri" w:hAnsi="Calibri"/>
                <w:i/>
                <w:iCs/>
                <w:color w:val="2B2B2B"/>
                <w:sz w:val="21"/>
                <w:szCs w:val="21"/>
              </w:rPr>
              <w:t xml:space="preserve">La heatmap de l'étape 5.5 affiche des coefficients issus de .corr() sans aucune p-value. Compare Pearson et Spearman : ce que chacun mesure, ce qu'il manque, sur quel type de relation il se trompe. Dis s'il faut en retenir un ou les deux. Calcule ensuite les deux pour chaque paire parmi stock_quantity, total_sales, price, taux_marge, prix_ht, purchase_price, au seuil p &lt; 0,05, et signale explicitement toute paire où les deux tests divergent.</w:t>
            </w:r>
          </w:p>
        </w:tc>
      </w:tr>
    </w:tbl>
    <w:p>
      <w:pPr>
        <w:spacing w:before="180"/>
      </w:pPr>
    </w:p>
    <w:tbl>
      <w:tblPr>
        <w:tblW w:type="dxa" w:w="9648"/>
        <w:tblBorders>
          <w:top w:val="single" w:color="1F7A8C" w:sz="4"/>
          <w:left w:val="single" w:color="1F7A8C" w:sz="24"/>
          <w:bottom w:val="single" w:color="1F7A8C" w:sz="4"/>
          <w:right w:val="single" w:color="1F7A8C" w:sz="4"/>
          <w:insideH w:val="none" w:color="FFFFFF" w:sz="0"/>
          <w:insideV w:val="none" w:color="FFFFFF" w:sz="0"/>
        </w:tblBorders>
      </w:tblPr>
      <w:tblGrid>
        <w:gridCol w:w="9648"/>
      </w:tblGrid>
      <w:tr>
        <w:tc>
          <w:tcPr>
            <w:tcW w:type="dxa" w:w="9648"/>
            <w:shd w:fill="FBF3EF" w:color="auto" w:val="clear"/>
            <w:tcMar>
              <w:top w:type="dxa" w:w="160"/>
              <w:left w:type="dxa" w:w="220"/>
              <w:bottom w:type="dxa" w:w="160"/>
              <w:right w:type="dxa" w:w="220"/>
            </w:tcMar>
          </w:tcPr>
          <w:p>
            <w:pPr>
              <w:spacing w:after="40"/>
            </w:pPr>
            <w:r>
              <w:rPr>
                <w:rFonts w:ascii="Calibri" w:cs="Calibri" w:eastAsia="Calibri" w:hAnsi="Calibri"/>
                <w:b/>
                <w:bCs/>
                <w:color w:val="1F7A8C"/>
                <w:spacing w:val="15"/>
                <w:sz w:val="17"/>
                <w:szCs w:val="17"/>
              </w:rPr>
              <w:t xml:space="preserve">ESSAI 4 — PORTABILITÉ</w:t>
            </w:r>
          </w:p>
          <w:p>
            <w:r>
              <w:rPr>
                <w:rFonts w:ascii="Calibri" w:cs="Calibri" w:eastAsia="Calibri" w:hAnsi="Calibri"/>
                <w:i/>
                <w:iCs/>
                <w:color w:val="2B2B2B"/>
                <w:sz w:val="21"/>
                <w:szCs w:val="21"/>
              </w:rPr>
              <w:t xml:space="preserve">Le notebook charge ses fichiers par des chemins absolus pointant vers le poste d'origine. Remplace-les par des chemins relatifs au dossier du notebook, puis vérifie que l'exécution complète réussit depuis un dossier déplacé. Vérifie aussi que la valorisation du stock est bien calculée sur purchase_price et non sur price. Consigne les versions exactes de Python et de chaque bibliothèque, et fixe toute graine aléatoire.</w:t>
            </w:r>
          </w:p>
        </w:tc>
      </w:tr>
    </w:tbl>
    <w:p>
      <w:pPr>
        <w:pStyle w:val="Heading2"/>
        <w:spacing w:after="140" w:before="300"/>
      </w:pPr>
      <w:r>
        <w:rPr>
          <w:rFonts w:ascii="Calibri" w:cs="Calibri" w:eastAsia="Calibri" w:hAnsi="Calibri"/>
          <w:b/>
          <w:bCs/>
          <w:color w:val="134652"/>
          <w:sz w:val="24"/>
          <w:szCs w:val="24"/>
        </w:rPr>
        <w:t xml:space="preserve">Annexe — essais portant sur la production des livrables</w:t>
      </w:r>
    </w:p>
    <w:p>
      <w:pPr>
        <w:spacing w:after="160" w:line="300"/>
      </w:pPr>
      <w:r>
        <w:rPr>
          <w:rFonts w:ascii="Calibri" w:cs="Calibri" w:eastAsia="Calibri" w:hAnsi="Calibri"/>
          <w:b w:val="false"/>
          <w:bCs w:val="false"/>
          <w:i w:val="false"/>
          <w:iCs w:val="false"/>
          <w:color w:val="222222"/>
          <w:sz w:val="21"/>
          <w:szCs w:val="21"/>
        </w:rPr>
        <w:t xml:space="preserve">Ces essais ne portent pas sur le notebook lui-même mais sur la fabrication des livrables et sur le portfolio. Ils sont consignés pour être complets : avec les quatre précédents, neuf essais au total.</w:t>
      </w:r>
    </w:p>
    <w:tbl>
      <w:tblPr>
        <w:tblW w:type="dxa" w:w="9648"/>
        <w:tblBorders>
          <w:top w:val="single" w:color="D5D8DB" w:sz="4"/>
          <w:left w:val="single" w:color="D5D8DB" w:sz="4"/>
          <w:bottom w:val="single" w:color="D5D8DB" w:sz="4"/>
          <w:right w:val="single" w:color="D5D8DB" w:sz="4"/>
          <w:insideH w:val="single" w:color="D5D8DB" w:sz="4"/>
          <w:insideV w:val="single" w:color="D5D8DB" w:sz="4"/>
        </w:tblBorders>
      </w:tblPr>
      <w:tblGrid>
        <w:gridCol w:w="2400"/>
        <w:gridCol w:w="3200"/>
        <w:gridCol w:w="4048"/>
      </w:tblGrid>
      <w:tr>
        <w:trPr>
          <w:cantSplit/>
          <w:tblHeader/>
        </w:trPr>
        <w:tc>
          <w:tcPr>
            <w:tcW w:type="dxa" w:w="240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Essai</w:t>
            </w:r>
          </w:p>
        </w:tc>
        <w:tc>
          <w:tcPr>
            <w:tcW w:type="dxa" w:w="320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Options instruites</w:t>
            </w:r>
          </w:p>
        </w:tc>
        <w:tc>
          <w:tcPr>
            <w:tcW w:type="dxa" w:w="4048"/>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Décision</w:t>
            </w:r>
          </w:p>
        </w:tc>
      </w:tr>
      <w:tr>
        <w:trPr>
          <w:cantSplit/>
        </w:trPr>
        <w:tc>
          <w:tcPr>
            <w:tcW w:type="dxa" w:w="24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5 — Format des livrables</w:t>
            </w:r>
          </w:p>
        </w:tc>
        <w:tc>
          <w:tcPr>
            <w:tcW w:type="dxa" w:w="32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Document unique / documents distincts, un par étape</w:t>
            </w:r>
          </w:p>
        </w:tc>
        <w:tc>
          <w:tcPr>
            <w:tcW w:type="dxa" w:w="4048"/>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Documents distincts. Contrainte posée : aucun chiffre dans un document sans provenir d'une exécution réelle</w:t>
            </w:r>
          </w:p>
        </w:tc>
      </w:tr>
      <w:tr>
        <w:trPr>
          <w:cantSplit/>
        </w:trPr>
        <w:tc>
          <w:tcPr>
            <w:tcW w:type="dxa" w:w="24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6 — Support de présentation</w:t>
            </w:r>
          </w:p>
        </w:tc>
        <w:tc>
          <w:tcPr>
            <w:tcW w:type="dxa" w:w="32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Génération assistée en ligne / générateur de slides / python-pptx avec design system déclaré</w:t>
            </w:r>
          </w:p>
        </w:tc>
        <w:tc>
          <w:tcPr>
            <w:tcW w:type="dxa" w:w="4048"/>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python-pptx. Les deux premières voies ont produit un rendu graphique insuffisant et n'ont pas été retenues</w:t>
            </w:r>
          </w:p>
        </w:tc>
      </w:tr>
      <w:tr>
        <w:trPr>
          <w:cantSplit/>
        </w:trPr>
        <w:tc>
          <w:tcPr>
            <w:tcW w:type="dxa" w:w="24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7 — Contrôle du rendu</w:t>
            </w:r>
          </w:p>
        </w:tc>
        <w:tc>
          <w:tcPr>
            <w:tcW w:type="dxa" w:w="32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Relecture du code / export de chaque page et de chaque slide en image</w:t>
            </w:r>
          </w:p>
        </w:tc>
        <w:tc>
          <w:tcPr>
            <w:tcW w:type="dxa" w:w="4048"/>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Export systématique. 7 défauts de mise en page détectés, invisibles à la relecture du code, tous corrigés</w:t>
            </w:r>
          </w:p>
        </w:tc>
      </w:tr>
      <w:tr>
        <w:trPr>
          <w:cantSplit/>
        </w:trPr>
        <w:tc>
          <w:tcPr>
            <w:tcW w:type="dxa" w:w="24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8 — Hiérarchisation du portfolio</w:t>
            </w:r>
          </w:p>
        </w:tc>
        <w:tc>
          <w:tcPr>
            <w:tcW w:type="dxa" w:w="32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Ordre chronologique / par compétence / par valeur métier démontrée</w:t>
            </w:r>
          </w:p>
        </w:tc>
        <w:tc>
          <w:tcPr>
            <w:tcW w:type="dxa" w:w="4048"/>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Hiérarchisation par valeur métier, arrêtée avant toute rédaction : 12 projets présentés, dont 5 preuves phares détaillées</w:t>
            </w:r>
          </w:p>
        </w:tc>
      </w:tr>
      <w:tr>
        <w:trPr>
          <w:cantSplit/>
        </w:trPr>
        <w:tc>
          <w:tcPr>
            <w:tcW w:type="dxa" w:w="24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9 — Exhaustivité de la publication</w:t>
            </w:r>
          </w:p>
        </w:tc>
        <w:tc>
          <w:tcPr>
            <w:tcW w:type="dxa" w:w="32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Un extrait représentatif par projet / l'intégralité des livrables</w:t>
            </w:r>
          </w:p>
        </w:tc>
        <w:tc>
          <w:tcPr>
            <w:tcW w:type="dxa" w:w="4048"/>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Intégralité — notebooks, requêtes SQL, schémas. 10 projets publiés en code ; les 2 projets d'entreprise restent hors dépôt</w:t>
            </w:r>
          </w:p>
        </w:tc>
      </w:tr>
    </w:tbl>
    <w:p>
      <w:pPr>
        <w:pStyle w:val="Heading1"/>
        <w:pBdr>
          <w:bottom w:val="single" w:color="1F7A8C" w:sz="6" w:space="6"/>
        </w:pBdr>
        <w:spacing w:after="200" w:before="420"/>
      </w:pPr>
      <w:r>
        <w:rPr>
          <w:rFonts w:ascii="Calibri" w:cs="Calibri" w:eastAsia="Calibri" w:hAnsi="Calibri"/>
          <w:b/>
          <w:bCs/>
          <w:color w:val="134652"/>
          <w:sz w:val="30"/>
          <w:szCs w:val="30"/>
        </w:rPr>
        <w:t xml:space="preserve">8. Synthèse recruteur / client</w:t>
      </w:r>
    </w:p>
    <w:p>
      <w:pPr>
        <w:spacing w:before="200"/>
      </w:pPr>
    </w:p>
    <w:tbl>
      <w:tblPr>
        <w:tblW w:type="dxa" w:w="9648"/>
        <w:tblBorders>
          <w:top w:val="single" w:color="1F7A8C" w:sz="4"/>
          <w:left w:val="single" w:color="1F7A8C" w:sz="24"/>
          <w:bottom w:val="single" w:color="1F7A8C" w:sz="4"/>
          <w:right w:val="single" w:color="1F7A8C" w:sz="4"/>
          <w:insideH w:val="none" w:color="FFFFFF" w:sz="0"/>
          <w:insideV w:val="none" w:color="FFFFFF" w:sz="0"/>
        </w:tblBorders>
      </w:tblPr>
      <w:tblGrid>
        <w:gridCol w:w="9648"/>
      </w:tblGrid>
      <w:tr>
        <w:tc>
          <w:tcPr>
            <w:tcW w:type="dxa" w:w="9648"/>
            <w:shd w:fill="FBF3EF" w:color="auto" w:val="clear"/>
            <w:tcMar>
              <w:top w:type="dxa" w:w="160"/>
              <w:left w:type="dxa" w:w="220"/>
              <w:bottom w:type="dxa" w:w="160"/>
              <w:right w:type="dxa" w:w="220"/>
            </w:tcMar>
          </w:tcPr>
          <w:p>
            <w:pPr>
              <w:spacing w:after="40"/>
            </w:pPr>
            <w:r>
              <w:rPr>
                <w:rFonts w:ascii="Calibri" w:cs="Calibri" w:eastAsia="Calibri" w:hAnsi="Calibri"/>
                <w:b/>
                <w:bCs/>
                <w:color w:val="1F7A8C"/>
                <w:spacing w:val="15"/>
                <w:sz w:val="17"/>
                <w:szCs w:val="17"/>
              </w:rPr>
              <w:t xml:space="preserve">SYNTHÈSE</w:t>
            </w:r>
          </w:p>
          <w:p>
            <w:r>
              <w:rPr>
                <w:rFonts w:ascii="Calibri" w:cs="Calibri" w:eastAsia="Calibri" w:hAnsi="Calibri"/>
                <w:i/>
                <w:iCs/>
                <w:color w:val="2B2B2B"/>
                <w:sz w:val="21"/>
                <w:szCs w:val="21"/>
              </w:rPr>
              <w:t xml:space="preserve">Ce projet fiabilise et enrichit l'analyse du catalogue e-commerce du caviste Bottleneck (825 références ERP, 714 références web actives) en croisant stock, prix et ventes issus de deux systèmes distincts. Deux méthodes de détection d'anomalies multivariées ont été implémentées et comparées entre elles et à l'analyse univariée existante : Isolation Forest (retenue, recoupement de 23,64 % avec l'IQR, un seul hyperparamètre à justifier) et Local Outlier Factor (conservée en piste d'itération, recoupement de 7,94 % seulement, mais détecte davantage d'anomalies inédites). Ensemble, ces deux méthodes révèlent 41 anomalies stock/ventes invisibles à une simple lecture du prix. Une validation statistique (Pearson + Spearman, p-values) a par ailleurs été ajoutée aux corrélations déjà présentées, révélant une relation forte entre stock et prix d'achat (Spearman r = -0,55, p &lt; 0,0001) totalement invisible au coefficient de Pearson classique (r = -0,02). La valorisation du stock, section conservée du V1, s'élève à 298 540,07 € pour 17 803 unités. Le notebook s'exécute intégralement sans erreur en environ 5 secondes sur un poste standard (0 erreur sur 94 cellules).</w:t>
            </w:r>
          </w:p>
        </w:tc>
      </w:tr>
    </w:tbl>
    <w:p>
      <w:pPr>
        <w:spacing w:before="260"/>
      </w:pPr>
    </w:p>
    <w:p>
      <w:pPr>
        <w:pStyle w:val="Heading2"/>
        <w:spacing w:after="140" w:before="300"/>
      </w:pPr>
      <w:r>
        <w:rPr>
          <w:rFonts w:ascii="Calibri" w:cs="Calibri" w:eastAsia="Calibri" w:hAnsi="Calibri"/>
          <w:b/>
          <w:bCs/>
          <w:color w:val="134652"/>
          <w:sz w:val="24"/>
          <w:szCs w:val="24"/>
        </w:rPr>
        <w:t xml:space="preserve">Recommandations pour la suite</w:t>
      </w:r>
    </w:p>
    <w:p>
      <w:pPr>
        <w:pStyle w:val="ListParagraph"/>
        <w:numPr>
          <w:ilvl w:val="0"/>
          <w:numId w:val="1"/>
        </w:numPr>
        <w:spacing w:after="100" w:line="290"/>
      </w:pPr>
      <w:r>
        <w:rPr>
          <w:rFonts w:ascii="Calibri" w:cs="Calibri" w:eastAsia="Calibri" w:hAnsi="Calibri"/>
          <w:color w:val="222222"/>
          <w:sz w:val="21"/>
          <w:szCs w:val="21"/>
        </w:rPr>
        <w:t xml:space="preserve">Faire auditer manuellement par le contrôle de gestion les anomalies stock/ventes détectées ainsi que l'article au taux de marge négatif (-84 %) avant toute décision automatisée</w:t>
      </w:r>
    </w:p>
    <w:p>
      <w:pPr>
        <w:pStyle w:val="ListParagraph"/>
        <w:numPr>
          <w:ilvl w:val="0"/>
          <w:numId w:val="1"/>
        </w:numPr>
        <w:spacing w:after="100" w:line="290"/>
      </w:pPr>
      <w:r>
        <w:rPr>
          <w:rFonts w:ascii="Calibri" w:cs="Calibri" w:eastAsia="Calibri" w:hAnsi="Calibri"/>
          <w:color w:val="222222"/>
          <w:sz w:val="21"/>
          <w:szCs w:val="21"/>
        </w:rPr>
        <w:t xml:space="preserve">Prioriser l'audit sur les articles que les deux méthodes signalent simultanément : c'est la liste la plus courte et la plus sûre</w:t>
      </w:r>
    </w:p>
    <w:p>
      <w:pPr>
        <w:pStyle w:val="ListParagraph"/>
        <w:numPr>
          <w:ilvl w:val="0"/>
          <w:numId w:val="1"/>
        </w:numPr>
        <w:spacing w:after="100" w:line="290"/>
      </w:pPr>
      <w:r>
        <w:rPr>
          <w:rFonts w:ascii="Calibri" w:cs="Calibri" w:eastAsia="Calibri" w:hAnsi="Calibri"/>
          <w:color w:val="222222"/>
          <w:sz w:val="21"/>
          <w:szCs w:val="21"/>
        </w:rPr>
        <w:t xml:space="preserve">Enrichir les données sources d'un horodatage des ventes pour permettre une analyse de tendance, actuellement impossible faute de dimension temporelle</w:t>
      </w:r>
    </w:p>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F63"/>
        <w:sz w:val="15"/>
        <w:szCs w:val="15"/>
      </w:rPr>
      <w:t xml:space="preserve">Kawtar Belkacemi · Data Analyst — OpenClassrooms · </w:t>
    </w:r>
    <w:r>
      <w:rPr>
        <w:rFonts w:ascii="Calibri" w:cs="Calibri" w:eastAsia="Calibri" w:hAnsi="Calibri"/>
        <w:color w:val="5B5F63"/>
        <w:sz w:val="15"/>
        <w:szCs w:val="15"/>
      </w:rPr>
      <w:t xml:space="preserve">Page </w:t>
    </w:r>
    <w:r>
      <w:rPr>
        <w:rFonts w:ascii="Calibri" w:cs="Calibri" w:eastAsia="Calibri" w:hAnsi="Calibri"/>
        <w:color w:val="5B5F63"/>
        <w:sz w:val="15"/>
        <w:szCs w:val="15"/>
      </w:rPr>
      <w:fldChar w:fldCharType="begin"/>
      <w:instrText xml:space="preserve">PAGE</w:instrText>
      <w:fldChar w:fldCharType="separate"/>
      <w:fldChar w:fldCharType="end"/>
    </w:r>
    <w:r>
      <w:rPr>
        <w:rFonts w:ascii="Calibri" w:cs="Calibri" w:eastAsia="Calibri" w:hAnsi="Calibri"/>
        <w:color w:val="5B5F63"/>
        <w:sz w:val="15"/>
        <w:szCs w:val="15"/>
      </w:rPr>
      <w:t xml:space="preserve"> / </w:t>
    </w:r>
    <w:r>
      <w:rPr>
        <w:rFonts w:ascii="Calibri" w:cs="Calibri" w:eastAsia="Calibri" w:hAnsi="Calibri"/>
        <w:color w:val="5B5F6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B" w:sz="4" w:space="4"/>
      </w:pBdr>
      <w:tabs>
        <w:tab w:val="right" w:pos="9026"/>
      </w:tabs>
    </w:pPr>
    <w:r>
      <w:rPr>
        <w:rFonts w:ascii="Calibri" w:cs="Calibri" w:eastAsia="Calibri" w:hAnsi="Calibri"/>
        <w:color w:val="5B5F63"/>
        <w:sz w:val="15"/>
        <w:szCs w:val="15"/>
      </w:rPr>
      <w:t xml:space="preserve">BOTTLENECK — Mission 1 Partie 1</w:t>
    </w:r>
    <w:r>
      <w:rPr>
        <w:rFonts w:ascii="Calibri" w:cs="Calibri" w:eastAsia="Calibri" w:hAnsi="Calibri"/>
        <w:b/>
        <w:bCs/>
        <w:color w:val="1F7A8C"/>
        <w:sz w:val="15"/>
        <w:szCs w:val="15"/>
      </w:rPr>
      <w:t xml:space="preserve">	README.docx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a5afc519d5c8ec2e9a551b566cc89ad07e61cee.png"/><Relationship Id="rId10" Type="http://schemas.openxmlformats.org/officeDocument/2006/relationships/image" Target="media/9c74eca474dd8a616ddbef8dfd1a72991911a2f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2026-08-08T14:28:05.846Z</dcterms:created>
  <dcterms:modified xsi:type="dcterms:W3CDTF">2026-08-08T14:28:05.846Z</dcterms:modified>
</cp:coreProperties>
</file>

<file path=docProps/custom.xml><?xml version="1.0" encoding="utf-8"?>
<Properties xmlns="http://schemas.openxmlformats.org/officeDocument/2006/custom-properties" xmlns:vt="http://schemas.openxmlformats.org/officeDocument/2006/docPropsVTypes"/>
</file>