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Calibri" w:cs="Calibri" w:eastAsia="Calibri" w:hAnsi="Calibri"/>
          <w:b/>
          <w:bCs/>
          <w:color w:val="E8622C"/>
          <w:spacing w:val="20"/>
          <w:sz w:val="20"/>
          <w:szCs w:val="20"/>
        </w:rPr>
        <w:t xml:space="preserve">ÉTAPE 3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34652"/>
          <w:sz w:val="52"/>
          <w:szCs w:val="52"/>
        </w:rPr>
        <w:t xml:space="preserve">Organisation du projet</w:t>
      </w:r>
    </w:p>
    <w:p>
      <w:pPr>
        <w:pBdr>
          <w:bottom w:val="single" w:color="1F7A8C" w:sz="12" w:space="12"/>
        </w:pBdr>
        <w:spacing w:after="260"/>
      </w:pPr>
      <w:r>
        <w:rPr>
          <w:rFonts w:ascii="Calibri" w:cs="Calibri" w:eastAsia="Calibri" w:hAnsi="Calibri"/>
          <w:i/>
          <w:iCs/>
          <w:color w:val="5B5F63"/>
          <w:sz w:val="24"/>
          <w:szCs w:val="24"/>
        </w:rPr>
        <w:t xml:space="preserve">Lots, backlog, planning et registre des risques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34652"/>
          <w:sz w:val="18"/>
          <w:szCs w:val="18"/>
        </w:rPr>
        <w:t xml:space="preserve">BOTTLENECK</w:t>
      </w:r>
      <w:r>
        <w:rPr>
          <w:rFonts w:ascii="Calibri" w:cs="Calibri" w:eastAsia="Calibri" w:hAnsi="Calibri"/>
          <w:color w:val="5B5F63"/>
          <w:sz w:val="18"/>
          <w:szCs w:val="18"/>
        </w:rPr>
        <w:t xml:space="preserve">  ·  Mission 1 — Partie 1  ·  Amélioration critique du livrable Projet 6</w:t>
      </w:r>
    </w:p>
    <w:p>
      <w:pPr>
        <w:spacing w:after="480"/>
      </w:pPr>
      <w:r>
        <w:rPr>
          <w:rFonts w:ascii="Calibri" w:cs="Calibri" w:eastAsia="Calibri" w:hAnsi="Calibri"/>
          <w:color w:val="5B5F63"/>
          <w:sz w:val="18"/>
          <w:szCs w:val="18"/>
        </w:rPr>
        <w:t xml:space="preserve">Kawtar Belkacemi</w:t>
      </w:r>
      <w:r>
        <w:rPr>
          <w:rFonts w:ascii="Calibri" w:cs="Calibri" w:eastAsia="Calibri" w:hAnsi="Calibri"/>
          <w:color w:val="5B5F63"/>
          <w:sz w:val="18"/>
          <w:szCs w:val="18"/>
        </w:rPr>
        <w:t xml:space="preserve">   ·   Formation Data Analyst — OpenClassrooms   ·   Août 2026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color w:val="134652"/>
          <w:spacing w:val="25"/>
          <w:sz w:val="17"/>
          <w:szCs w:val="17"/>
        </w:rPr>
        <w:t xml:space="preserve">SOMMAIRE</w:t>
      </w:r>
    </w:p>
    <w:p>
      <w:pPr>
        <w:tabs>
          <w:tab w:val="right" w:pos="9200"/>
        </w:tabs>
        <w:spacing w:after="70"/>
      </w:pPr>
      <w:r>
        <w:rPr>
          <w:rFonts w:ascii="Consolas" w:cs="Consolas" w:eastAsia="Consolas" w:hAnsi="Consolas"/>
          <w:color w:val="E8622C"/>
          <w:sz w:val="17"/>
          <w:szCs w:val="17"/>
        </w:rPr>
        <w:t xml:space="preserve">01 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Découpage en lots</w:t>
      </w:r>
    </w:p>
    <w:p>
      <w:pPr>
        <w:tabs>
          <w:tab w:val="right" w:pos="9200"/>
        </w:tabs>
        <w:spacing w:after="70"/>
      </w:pPr>
      <w:r>
        <w:rPr>
          <w:rFonts w:ascii="Consolas" w:cs="Consolas" w:eastAsia="Consolas" w:hAnsi="Consolas"/>
          <w:color w:val="E8622C"/>
          <w:sz w:val="17"/>
          <w:szCs w:val="17"/>
        </w:rPr>
        <w:t xml:space="preserve">02 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Backlog de tâches</w:t>
      </w:r>
    </w:p>
    <w:p>
      <w:pPr>
        <w:tabs>
          <w:tab w:val="right" w:pos="9200"/>
        </w:tabs>
        <w:spacing w:after="70"/>
      </w:pPr>
      <w:r>
        <w:rPr>
          <w:rFonts w:ascii="Consolas" w:cs="Consolas" w:eastAsia="Consolas" w:hAnsi="Consolas"/>
          <w:color w:val="E8622C"/>
          <w:sz w:val="17"/>
          <w:szCs w:val="17"/>
        </w:rPr>
        <w:t xml:space="preserve">03 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Planning et jalons</w:t>
      </w:r>
    </w:p>
    <w:p>
      <w:pPr>
        <w:tabs>
          <w:tab w:val="right" w:pos="9200"/>
        </w:tabs>
        <w:spacing w:after="70"/>
      </w:pPr>
      <w:r>
        <w:rPr>
          <w:rFonts w:ascii="Consolas" w:cs="Consolas" w:eastAsia="Consolas" w:hAnsi="Consolas"/>
          <w:color w:val="E8622C"/>
          <w:sz w:val="17"/>
          <w:szCs w:val="17"/>
        </w:rPr>
        <w:t xml:space="preserve">04 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Registre des risques</w:t>
      </w:r>
    </w:p>
    <w:p>
      <w:pPr>
        <w:pBdr>
          <w:bottom w:val="single" w:color="1F7A8C" w:sz="6" w:space="10"/>
        </w:pBdr>
        <w:spacing w:after="340"/>
      </w:pPr>
    </w:p>
    <w:p>
      <w:pPr>
        <w:pStyle w:val="Heading1"/>
        <w:pBdr>
          <w:bottom w:val="single" w:color="1F7A8C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34652"/>
          <w:sz w:val="30"/>
          <w:szCs w:val="30"/>
        </w:rPr>
        <w:t xml:space="preserve">1. Découpage en lots</w:t>
      </w:r>
    </w:p>
    <w:tbl>
      <w:tblPr>
        <w:tblW w:type="dxa" w:w="9648"/>
        <w:tblBorders>
          <w:top w:val="single" w:color="D5D8DB" w:sz="4"/>
          <w:left w:val="single" w:color="D5D8DB" w:sz="4"/>
          <w:bottom w:val="single" w:color="D5D8DB" w:sz="4"/>
          <w:right w:val="single" w:color="D5D8DB" w:sz="4"/>
          <w:insideH w:val="single" w:color="D5D8DB" w:sz="4"/>
          <w:insideV w:val="single" w:color="D5D8DB" w:sz="4"/>
        </w:tblBorders>
      </w:tblPr>
      <w:tblGrid>
        <w:gridCol w:w="2400"/>
        <w:gridCol w:w="4600"/>
        <w:gridCol w:w="2620"/>
      </w:tblGrid>
      <w:tr>
        <w:trPr>
          <w:cantSplit/>
          <w:tblHeader/>
        </w:trPr>
        <w:tc>
          <w:tcPr>
            <w:tcW w:type="dxa" w:w="2400"/>
            <w:shd w:fill="13465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Lot</w:t>
            </w:r>
          </w:p>
        </w:tc>
        <w:tc>
          <w:tcPr>
            <w:tcW w:type="dxa" w:w="4600"/>
            <w:shd w:fill="13465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Objectif</w:t>
            </w:r>
          </w:p>
        </w:tc>
        <w:tc>
          <w:tcPr>
            <w:tcW w:type="dxa" w:w="2620"/>
            <w:shd w:fill="13465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Livrable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Lot 0 — Cadrage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Définir le besoin de veille et le périmètre fonctionnel avant toute implémentation</w:t>
            </w:r>
          </w:p>
        </w:tc>
        <w:tc>
          <w:tcPr>
            <w:tcW w:type="dxa" w:w="2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Veille technologique, cahier des charges</w:t>
            </w:r>
          </w:p>
        </w:tc>
      </w:tr>
      <w:tr>
        <w:trPr>
          <w:cantSplit/>
        </w:trPr>
        <w:tc>
          <w:tcPr>
            <w:tcW w:type="dxa" w:w="24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Lot 1 — Data audit</w:t>
            </w:r>
          </w:p>
        </w:tc>
        <w:tc>
          <w:tcPr>
            <w:tcW w:type="dxa" w:w="46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Auditer la qualité des 3 sources : doublons, valeurs manquantes/négatives, cohérence des jointures</w:t>
            </w:r>
          </w:p>
        </w:tc>
        <w:tc>
          <w:tcPr>
            <w:tcW w:type="dxa" w:w="262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Étapes 2-3 du notebook (V1, conservées)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Lot 2 — EDA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Analyser prix, CA, quantités, marge et rotation de stock en univarié</w:t>
            </w:r>
          </w:p>
        </w:tc>
        <w:tc>
          <w:tcPr>
            <w:tcW w:type="dxa" w:w="2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Étapes 4.1, 5.1-5.4 du notebook (conservées)</w:t>
            </w:r>
          </w:p>
        </w:tc>
      </w:tr>
      <w:tr>
        <w:trPr>
          <w:cantSplit/>
        </w:trPr>
        <w:tc>
          <w:tcPr>
            <w:tcW w:type="dxa" w:w="24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Lot 3 — Analyse avancée</w:t>
            </w:r>
          </w:p>
        </w:tc>
        <w:tc>
          <w:tcPr>
            <w:tcW w:type="dxa" w:w="46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Enrichir l'analyse univariée par deux méthodes de détection d'anomalies multivariée et une validation statistique</w:t>
            </w:r>
          </w:p>
        </w:tc>
        <w:tc>
          <w:tcPr>
            <w:tcW w:type="dxa" w:w="262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Notebook V2, Étapes 4.3 et 5.5bis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Lot 4 — Validation technique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Corriger la portabilité (chemins relatifs), exécuter le notebook sans erreur</w:t>
            </w:r>
          </w:p>
        </w:tc>
        <w:tc>
          <w:tcPr>
            <w:tcW w:type="dxa" w:w="2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Notebook V2 exécuté (Run All)</w:t>
            </w:r>
          </w:p>
        </w:tc>
      </w:tr>
      <w:tr>
        <w:trPr>
          <w:cantSplit/>
        </w:trPr>
        <w:tc>
          <w:tcPr>
            <w:tcW w:type="dxa" w:w="24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Lot 5 — Restitution</w:t>
            </w:r>
          </w:p>
        </w:tc>
        <w:tc>
          <w:tcPr>
            <w:tcW w:type="dxa" w:w="46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Documenter les choix, les limites et produire une synthèse exploitable par les équipes métier</w:t>
            </w:r>
          </w:p>
        </w:tc>
        <w:tc>
          <w:tcPr>
            <w:tcW w:type="dxa" w:w="262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README, PROJET_ORGANISATION</w:t>
            </w:r>
          </w:p>
        </w:tc>
      </w:tr>
    </w:tbl>
    <w:p>
      <w:pPr>
        <w:pStyle w:val="Heading1"/>
        <w:pBdr>
          <w:bottom w:val="single" w:color="1F7A8C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34652"/>
          <w:sz w:val="30"/>
          <w:szCs w:val="30"/>
        </w:rPr>
        <w:t xml:space="preserve">2. Backlog de tâches</w:t>
      </w:r>
    </w:p>
    <w:tbl>
      <w:tblPr>
        <w:tblW w:type="dxa" w:w="9648"/>
        <w:tblBorders>
          <w:top w:val="single" w:color="D5D8DB" w:sz="4"/>
          <w:left w:val="single" w:color="D5D8DB" w:sz="4"/>
          <w:bottom w:val="single" w:color="D5D8DB" w:sz="4"/>
          <w:right w:val="single" w:color="D5D8DB" w:sz="4"/>
          <w:insideH w:val="single" w:color="D5D8DB" w:sz="4"/>
          <w:insideV w:val="single" w:color="D5D8DB" w:sz="4"/>
        </w:tblBorders>
      </w:tblPr>
      <w:tblGrid>
        <w:gridCol w:w="3400"/>
        <w:gridCol w:w="1000"/>
        <w:gridCol w:w="1500"/>
        <w:gridCol w:w="2620"/>
        <w:gridCol w:w="1100"/>
      </w:tblGrid>
      <w:tr>
        <w:trPr>
          <w:cantSplit/>
          <w:tblHeader/>
        </w:trPr>
        <w:tc>
          <w:tcPr>
            <w:tcW w:type="dxa" w:w="3400"/>
            <w:shd w:fill="13465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1000"/>
            <w:shd w:fill="13465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Charge</w:t>
            </w:r>
          </w:p>
        </w:tc>
        <w:tc>
          <w:tcPr>
            <w:tcW w:type="dxa" w:w="1500"/>
            <w:shd w:fill="13465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Dépendances</w:t>
            </w:r>
          </w:p>
        </w:tc>
        <w:tc>
          <w:tcPr>
            <w:tcW w:type="dxa" w:w="2620"/>
            <w:shd w:fill="13465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Définition de "Done"</w:t>
            </w:r>
          </w:p>
        </w:tc>
        <w:tc>
          <w:tcPr>
            <w:tcW w:type="dxa" w:w="1100"/>
            <w:shd w:fill="13465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Analyser le notebook V1 et lister ses limites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Limites identifiées et sourcées par référence au code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✅ Fait</w:t>
            </w:r>
          </w:p>
        </w:tc>
      </w:tr>
      <w:tr>
        <w:trPr>
          <w:cantSplit/>
        </w:trPr>
        <w:tc>
          <w:tcPr>
            <w:tcW w:type="dxa" w:w="34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Rédiger la veille technologique</w:t>
            </w:r>
          </w:p>
        </w:tc>
        <w:tc>
          <w:tcPr>
            <w:tcW w:type="dxa" w:w="10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1h30</w:t>
            </w:r>
          </w:p>
        </w:tc>
        <w:tc>
          <w:tcPr>
            <w:tcW w:type="dxa" w:w="15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Analyse V1</w:t>
            </w:r>
          </w:p>
        </w:tc>
        <w:tc>
          <w:tcPr>
            <w:tcW w:type="dxa" w:w="262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Tableau de critères et décision argumentée</w:t>
            </w:r>
          </w:p>
        </w:tc>
        <w:tc>
          <w:tcPr>
            <w:tcW w:type="dxa" w:w="11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✅ Fait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Rédiger le cahier des charges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1h30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Analyse V1, veille</w:t>
            </w:r>
          </w:p>
        </w:tc>
        <w:tc>
          <w:tcPr>
            <w:tcW w:type="dxa" w:w="2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Document complet, chiffres réels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✅ Fait</w:t>
            </w:r>
          </w:p>
        </w:tc>
      </w:tr>
      <w:tr>
        <w:trPr>
          <w:cantSplit/>
        </w:trPr>
        <w:tc>
          <w:tcPr>
            <w:tcW w:type="dxa" w:w="34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Corriger les chemins absolus du V1 en chemins relatifs</w:t>
            </w:r>
          </w:p>
        </w:tc>
        <w:tc>
          <w:tcPr>
            <w:tcW w:type="dxa" w:w="10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 min</w:t>
            </w:r>
          </w:p>
        </w:tc>
        <w:tc>
          <w:tcPr>
            <w:tcW w:type="dxa" w:w="15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62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Plus aucun chemin absolu</w:t>
            </w:r>
          </w:p>
        </w:tc>
        <w:tc>
          <w:tcPr>
            <w:tcW w:type="dxa" w:w="11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✅ Fait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Implémenter et exécuter Isolation Forest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1h30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Veille</w:t>
            </w:r>
          </w:p>
        </w:tc>
        <w:tc>
          <w:tcPr>
            <w:tcW w:type="dxa" w:w="2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Section exécutable, résultats réels obtenus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✅ Fait</w:t>
            </w:r>
          </w:p>
        </w:tc>
      </w:tr>
      <w:tr>
        <w:trPr>
          <w:cantSplit/>
        </w:trPr>
        <w:tc>
          <w:tcPr>
            <w:tcW w:type="dxa" w:w="34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Implémenter et exécuter Local Outlier Factor (2e méthode, comparaison réelle)</w:t>
            </w:r>
          </w:p>
        </w:tc>
        <w:tc>
          <w:tcPr>
            <w:tcW w:type="dxa" w:w="10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15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Isolation Forest en place</w:t>
            </w:r>
          </w:p>
        </w:tc>
        <w:tc>
          <w:tcPr>
            <w:tcW w:type="dxa" w:w="262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Résultats réels comparés à l'IQR et à Isolation Forest</w:t>
            </w:r>
          </w:p>
        </w:tc>
        <w:tc>
          <w:tcPr>
            <w:tcW w:type="dxa" w:w="11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✅ Fait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Mesurer et comparer les temps de calcul des deux méthodes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 min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Les deux méthodes implémentées</w:t>
            </w:r>
          </w:p>
        </w:tc>
        <w:tc>
          <w:tcPr>
            <w:tcW w:type="dxa" w:w="2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Temps mesurés, pas estimés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✅ Fait</w:t>
            </w:r>
          </w:p>
        </w:tc>
      </w:tr>
      <w:tr>
        <w:trPr>
          <w:cantSplit/>
        </w:trPr>
        <w:tc>
          <w:tcPr>
            <w:tcW w:type="dxa" w:w="34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Implémenter les tests de significativité (Pearson + Spearman)</w:t>
            </w:r>
          </w:p>
        </w:tc>
        <w:tc>
          <w:tcPr>
            <w:tcW w:type="dxa" w:w="10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15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Heatmap V1</w:t>
            </w:r>
          </w:p>
        </w:tc>
        <w:tc>
          <w:tcPr>
            <w:tcW w:type="dxa" w:w="262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Table Pearson + Spearman + p-value, calculée réellement</w:t>
            </w:r>
          </w:p>
        </w:tc>
        <w:tc>
          <w:tcPr>
            <w:tcW w:type="dxa" w:w="11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✅ Fait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Exécution complète du notebook (Run All)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 min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Toutes les sections en place</w:t>
            </w:r>
          </w:p>
        </w:tc>
        <w:tc>
          <w:tcPr>
            <w:tcW w:type="dxa" w:w="2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 erreur sur 94 cellules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✅ Fait</w:t>
            </w:r>
          </w:p>
        </w:tc>
      </w:tr>
      <w:tr>
        <w:trPr>
          <w:cantSplit/>
        </w:trPr>
        <w:tc>
          <w:tcPr>
            <w:tcW w:type="dxa" w:w="34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Rédiger les conclusions à partir des résultats réellement obtenus</w:t>
            </w:r>
          </w:p>
        </w:tc>
        <w:tc>
          <w:tcPr>
            <w:tcW w:type="dxa" w:w="10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30 min</w:t>
            </w:r>
          </w:p>
        </w:tc>
        <w:tc>
          <w:tcPr>
            <w:tcW w:type="dxa" w:w="15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Exécution réussie</w:t>
            </w:r>
          </w:p>
        </w:tc>
        <w:tc>
          <w:tcPr>
            <w:tcW w:type="dxa" w:w="262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Chiffres reportés dans README, identiques aux sorties du notebook</w:t>
            </w:r>
          </w:p>
        </w:tc>
        <w:tc>
          <w:tcPr>
            <w:tcW w:type="dxa" w:w="11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✅ Fait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Rédiger PROJET_ORGANISATION.docx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45 min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Lots et backlog définis</w:t>
            </w:r>
          </w:p>
        </w:tc>
        <w:tc>
          <w:tcPr>
            <w:tcW w:type="dxa" w:w="2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Document complet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✅ Fait</w:t>
            </w:r>
          </w:p>
        </w:tc>
      </w:tr>
      <w:tr>
        <w:trPr>
          <w:cantSplit/>
        </w:trPr>
        <w:tc>
          <w:tcPr>
            <w:tcW w:type="dxa" w:w="34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Rédiger README.docx final</w:t>
            </w:r>
          </w:p>
        </w:tc>
        <w:tc>
          <w:tcPr>
            <w:tcW w:type="dxa" w:w="10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1h</w:t>
            </w:r>
          </w:p>
        </w:tc>
        <w:tc>
          <w:tcPr>
            <w:tcW w:type="dxa" w:w="15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Résultats numériques disponibles</w:t>
            </w:r>
          </w:p>
        </w:tc>
        <w:tc>
          <w:tcPr>
            <w:tcW w:type="dxa" w:w="262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Traçabilité, limites, synthèse avec chiffres réels</w:t>
            </w:r>
          </w:p>
        </w:tc>
        <w:tc>
          <w:tcPr>
            <w:tcW w:type="dxa" w:w="11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✅ Fait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Explorer une détection par sous-famille de produits (itération future)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2h (estimé)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Résultats Local Outlier Factor</w:t>
            </w:r>
          </w:p>
        </w:tc>
        <w:tc>
          <w:tcPr>
            <w:tcW w:type="dxa" w:w="26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Non démarré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🔲 À faire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Charge totale réalisée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~11h.  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Charge restante (itération future)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~2h.</w:t>
      </w:r>
    </w:p>
    <w:p>
      <w:pPr>
        <w:pStyle w:val="Heading1"/>
        <w:pBdr>
          <w:bottom w:val="single" w:color="1F7A8C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34652"/>
          <w:sz w:val="30"/>
          <w:szCs w:val="30"/>
        </w:rPr>
        <w:t xml:space="preserve">3. Planning et jalons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Projet lancé le 26 juin 2026, livré le 17 juillet 2026 : 3 semaines calendaires pour environ 11 heures de charge effective, réparties en soirées et demi-journées.</w:t>
      </w:r>
    </w:p>
    <w:tbl>
      <w:tblPr>
        <w:tblW w:type="dxa" w:w="9648"/>
        <w:tblBorders>
          <w:top w:val="single" w:color="D5D8DB" w:sz="4"/>
          <w:left w:val="single" w:color="D5D8DB" w:sz="4"/>
          <w:bottom w:val="single" w:color="D5D8DB" w:sz="4"/>
          <w:right w:val="single" w:color="D5D8DB" w:sz="4"/>
          <w:insideH w:val="single" w:color="D5D8DB" w:sz="4"/>
          <w:insideV w:val="single" w:color="D5D8DB" w:sz="4"/>
        </w:tblBorders>
      </w:tblPr>
      <w:tblGrid>
        <w:gridCol w:w="1250"/>
        <w:gridCol w:w="2350"/>
        <w:gridCol w:w="3200"/>
        <w:gridCol w:w="2820"/>
      </w:tblGrid>
      <w:tr>
        <w:trPr>
          <w:cantSplit/>
          <w:tblHeader/>
        </w:trPr>
        <w:tc>
          <w:tcPr>
            <w:tcW w:type="dxa" w:w="1250"/>
            <w:shd w:fill="13465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350"/>
            <w:shd w:fill="13465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Jalon</w:t>
            </w:r>
          </w:p>
        </w:tc>
        <w:tc>
          <w:tcPr>
            <w:tcW w:type="dxa" w:w="3200"/>
            <w:shd w:fill="13465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2820"/>
            <w:shd w:fill="13465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 de contrôle</w:t>
            </w:r>
          </w:p>
        </w:tc>
      </w:tr>
      <w:tr>
        <w:trPr>
          <w:cantSplit/>
        </w:trPr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26 juin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Lancement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Analyse du notebook V1, relevé de ses limites, définition du périmètre</w:t>
            </w:r>
          </w:p>
        </w:tc>
        <w:tc>
          <w:tcPr>
            <w:tcW w:type="dxa" w:w="2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Limites identifiées et rattachées à des lignes de code précises</w:t>
            </w:r>
          </w:p>
        </w:tc>
      </w:tr>
      <w:tr>
        <w:trPr>
          <w:cantSplit/>
        </w:trPr>
        <w:tc>
          <w:tcPr>
            <w:tcW w:type="dxa" w:w="125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 juillet</w:t>
            </w:r>
          </w:p>
        </w:tc>
        <w:tc>
          <w:tcPr>
            <w:tcW w:type="dxa" w:w="235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J1 — Cadrage validé</w:t>
            </w:r>
          </w:p>
        </w:tc>
        <w:tc>
          <w:tcPr>
            <w:tcW w:type="dxa" w:w="32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Veille technologique + cahier des charges rédigés</w:t>
            </w:r>
          </w:p>
        </w:tc>
        <w:tc>
          <w:tcPr>
            <w:tcW w:type="dxa" w:w="282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Cohérence entre besoin de veille et limites observées dans le code V1</w:t>
            </w:r>
          </w:p>
        </w:tc>
      </w:tr>
      <w:tr>
        <w:trPr>
          <w:cantSplit/>
        </w:trPr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 juillet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J2 — Notebook V2 fonctionnellement complet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Corrections de portabilité, deux méthodes d'anomalies + significativité ajoutées</w:t>
            </w:r>
          </w:p>
        </w:tc>
        <w:tc>
          <w:tcPr>
            <w:tcW w:type="dxa" w:w="2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Toutes les sections/conclusions V1 conservées à l'identique (diff V1/V2)</w:t>
            </w:r>
          </w:p>
        </w:tc>
      </w:tr>
      <w:tr>
        <w:trPr>
          <w:cantSplit/>
        </w:trPr>
        <w:tc>
          <w:tcPr>
            <w:tcW w:type="dxa" w:w="125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 juillet</w:t>
            </w:r>
          </w:p>
        </w:tc>
        <w:tc>
          <w:tcPr>
            <w:tcW w:type="dxa" w:w="235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J3 — Notebook V2 validé techniquement</w:t>
            </w:r>
          </w:p>
        </w:tc>
        <w:tc>
          <w:tcPr>
            <w:tcW w:type="dxa" w:w="32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Exécution complète (Run All) sans erreur, environnement reproductible</w:t>
            </w:r>
          </w:p>
        </w:tc>
        <w:tc>
          <w:tcPr>
            <w:tcW w:type="dxa" w:w="282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 cellule en erreur sur 94, chemins relatifs, valorisation vérifiée sur purchase_price</w:t>
            </w:r>
          </w:p>
        </w:tc>
      </w:tr>
      <w:tr>
        <w:trPr>
          <w:cantSplit/>
        </w:trPr>
        <w:tc>
          <w:tcPr>
            <w:tcW w:type="dxa" w:w="12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17 juillet</w:t>
            </w:r>
          </w:p>
        </w:tc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J4 — Documentation livrée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PROJET_ORGANISATION et README finalisés avec chiffres réels</w:t>
            </w:r>
          </w:p>
        </w:tc>
        <w:tc>
          <w:tcPr>
            <w:tcW w:type="dxa" w:w="2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Cohérence des chiffres entre le notebook exécuté et les documents</w:t>
            </w:r>
          </w:p>
        </w:tc>
      </w:tr>
    </w:tbl>
    <w:p>
      <w:pPr>
        <w:keepNext/>
        <w:keepLines/>
        <w:spacing w:after="90" w:before="260"/>
        <w:jc w:val="center"/>
      </w:pPr>
      <w:r>
        <w:drawing>
          <wp:inline distT="0" distB="0" distL="0" distR="0">
            <wp:extent cx="4320007" cy="144000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7" cy="144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B5F63"/>
          <w:sz w:val="17"/>
          <w:szCs w:val="17"/>
        </w:rPr>
        <w:t xml:space="preserve">Figure 1 — Planning : du lancement le 26 juin à la livraison documentaire le 17 juillet.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Le délai de deux semaines entre le lancement et J1 est volontaire : le cadrage n'a été figé qu'une fois la veille terminée, pour ne pas écrire un cahier des charges qui présuppose une solution technique non encore instruite.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Versioning : le notebook original n'est jamais modifié ; toute évolution se fait exclusivement sur la copie V2, ce qui permet une comparaison avant/après directe à tout moment.</w:t>
      </w:r>
    </w:p>
    <w:p>
      <w:pPr>
        <w:pStyle w:val="Heading1"/>
        <w:pBdr>
          <w:bottom w:val="single" w:color="1F7A8C" w:sz="6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134652"/>
          <w:sz w:val="30"/>
          <w:szCs w:val="30"/>
        </w:rPr>
        <w:t xml:space="preserve">4. Registre des risques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Sept risques ont été identifiés au cadrage puis suivis jusqu'à la livraison. Aucun ne s'est matérialisé, mais trois d'entre eux (R2, R4, R5) ont directement orienté des choix techniques : calibrage de la contamination, périmètre de détection, et signalement explicite de la marge négative.</w:t>
      </w:r>
    </w:p>
    <w:tbl>
      <w:tblPr>
        <w:tblW w:type="dxa" w:w="9648"/>
        <w:tblBorders>
          <w:top w:val="single" w:color="D5D8DB" w:sz="4"/>
          <w:left w:val="single" w:color="D5D8DB" w:sz="4"/>
          <w:bottom w:val="single" w:color="D5D8DB" w:sz="4"/>
          <w:right w:val="single" w:color="D5D8DB" w:sz="4"/>
          <w:insideH w:val="single" w:color="D5D8DB" w:sz="4"/>
          <w:insideV w:val="single" w:color="D5D8DB" w:sz="4"/>
        </w:tblBorders>
      </w:tblPr>
      <w:tblGrid>
        <w:gridCol w:w="4200"/>
        <w:gridCol w:w="1200"/>
        <w:gridCol w:w="1200"/>
        <w:gridCol w:w="3020"/>
      </w:tblGrid>
      <w:tr>
        <w:trPr>
          <w:cantSplit/>
          <w:tblHeader/>
        </w:trPr>
        <w:tc>
          <w:tcPr>
            <w:tcW w:type="dxa" w:w="4200"/>
            <w:shd w:fill="13465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Risque</w:t>
            </w:r>
          </w:p>
        </w:tc>
        <w:tc>
          <w:tcPr>
            <w:tcW w:type="dxa" w:w="1200"/>
            <w:shd w:fill="13465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Proba.</w:t>
            </w:r>
          </w:p>
        </w:tc>
        <w:tc>
          <w:tcPr>
            <w:tcW w:type="dxa" w:w="1200"/>
            <w:shd w:fill="13465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020"/>
            <w:shd w:fill="13465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R1 — Taux de non-appariement (13,45 %) mal interprété comme une erreur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Moyenne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Moyen</w:t>
            </w:r>
          </w:p>
        </w:tc>
        <w:tc>
          <w:tcPr>
            <w:tcW w:type="dxa" w:w="30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Chiffré et documenté explicitement dans le cahier des charges et le plan de formation</w:t>
            </w:r>
          </w:p>
        </w:tc>
      </w:tr>
      <w:tr>
        <w:trPr>
          <w:cantSplit/>
        </w:trPr>
        <w:tc>
          <w:tcPr>
            <w:tcW w:type="dxa" w:w="42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R2 — Mauvais calibrage de contamination (Isolation Forest / LOF)</w:t>
            </w:r>
          </w:p>
        </w:tc>
        <w:tc>
          <w:tcPr>
            <w:tcW w:type="dxa" w:w="12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Moyenne</w:t>
            </w:r>
          </w:p>
        </w:tc>
        <w:tc>
          <w:tcPr>
            <w:tcW w:type="dxa" w:w="12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Élevé</w:t>
            </w:r>
          </w:p>
        </w:tc>
        <w:tc>
          <w:tcPr>
            <w:tcW w:type="dxa" w:w="302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Calibrage objectif et traçable sur le taux IQR ; random_state figé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R3 — Confusion entre force et significativité d'une corrélation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Moyenne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Moyen</w:t>
            </w:r>
          </w:p>
        </w:tc>
        <w:tc>
          <w:tcPr>
            <w:tcW w:type="dxa" w:w="30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Table croisant coefficient et p-value, avec conclusion écrite explicite</w:t>
            </w:r>
          </w:p>
        </w:tc>
      </w:tr>
      <w:tr>
        <w:trPr>
          <w:cantSplit/>
        </w:trPr>
        <w:tc>
          <w:tcPr>
            <w:tcW w:type="dxa" w:w="42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R4 — Isolation Forest et LOF ne détectent que des anomalies globales au catalogue</w:t>
            </w:r>
          </w:p>
        </w:tc>
        <w:tc>
          <w:tcPr>
            <w:tcW w:type="dxa" w:w="12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Faible à moyenne</w:t>
            </w:r>
          </w:p>
        </w:tc>
        <w:tc>
          <w:tcPr>
            <w:tcW w:type="dxa" w:w="12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Moyen</w:t>
            </w:r>
          </w:p>
        </w:tc>
        <w:tc>
          <w:tcPr>
            <w:tcW w:type="dxa" w:w="302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Limite documentée ; piste de détection par sous-famille identifiée pour un prochain cycle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R5 — Référence à marge négative (-84 %) : possible erreur de saisie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Faible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Élevé</w:t>
            </w:r>
          </w:p>
        </w:tc>
        <w:tc>
          <w:tcPr>
            <w:tcW w:type="dxa" w:w="30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Signalée explicitement ; validation manuelle recommandée par le contrôle de gestion</w:t>
            </w:r>
          </w:p>
        </w:tc>
      </w:tr>
      <w:tr>
        <w:trPr>
          <w:cantSplit/>
        </w:trPr>
        <w:tc>
          <w:tcPr>
            <w:tcW w:type="dxa" w:w="42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R6 — Dépendance à un environnement Python configuré</w:t>
            </w:r>
          </w:p>
        </w:tc>
        <w:tc>
          <w:tcPr>
            <w:tcW w:type="dxa" w:w="12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Moyenne</w:t>
            </w:r>
          </w:p>
        </w:tc>
        <w:tc>
          <w:tcPr>
            <w:tcW w:type="dxa" w:w="120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Faible à moyen</w:t>
            </w:r>
          </w:p>
        </w:tc>
        <w:tc>
          <w:tcPr>
            <w:tcW w:type="dxa" w:w="3020"/>
            <w:shd w:fill="EDEF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Versions exactes consignées dans le README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R7 — Sur-interprétation d'un résultat de coût de calcul contre-intuitif (LOF plus rapide qu'Isolation Forest ici)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Faible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Faible</w:t>
            </w:r>
          </w:p>
        </w:tc>
        <w:tc>
          <w:tcPr>
            <w:tcW w:type="dxa" w:w="30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Résultat expliqué par la taille modeste du catalogue (825 lignes) ; à ne pas généraliser à un catalogue plus grand sans re-mesure</w:t>
            </w:r>
          </w:p>
        </w:tc>
      </w:tr>
    </w:tbl>
    <w:p>
      <w:pPr>
        <w:keepNext/>
        <w:keepLines/>
        <w:spacing w:after="90" w:before="260"/>
        <w:jc w:val="center"/>
      </w:pPr>
      <w:r>
        <w:drawing>
          <wp:inline distT="0" distB="0" distL="0" distR="0">
            <wp:extent cx="3645006" cy="2812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006" cy="281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B5F63"/>
          <w:sz w:val="17"/>
          <w:szCs w:val="17"/>
        </w:rPr>
        <w:t xml:space="preserve">Figure 2 — Cartographie probabilité × impact des sept risques du registre.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63"/>
        <w:sz w:val="15"/>
        <w:szCs w:val="15"/>
      </w:rPr>
      <w:t xml:space="preserve">Kawtar Belkacemi · Data Analyst — OpenClassrooms · </w:t>
    </w:r>
    <w:r>
      <w:rPr>
        <w:rFonts w:ascii="Calibri" w:cs="Calibri" w:eastAsia="Calibri" w:hAnsi="Calibri"/>
        <w:color w:val="5B5F63"/>
        <w:sz w:val="15"/>
        <w:szCs w:val="15"/>
      </w:rPr>
      <w:t xml:space="preserve">Page </w:t>
    </w:r>
    <w:r>
      <w:rPr>
        <w:rFonts w:ascii="Calibri" w:cs="Calibri" w:eastAsia="Calibri" w:hAnsi="Calibri"/>
        <w:color w:val="5B5F6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F63"/>
        <w:sz w:val="15"/>
        <w:szCs w:val="15"/>
      </w:rPr>
      <w:t xml:space="preserve"> / </w:t>
    </w:r>
    <w:r>
      <w:rPr>
        <w:rFonts w:ascii="Calibri" w:cs="Calibri" w:eastAsia="Calibri" w:hAnsi="Calibri"/>
        <w:color w:val="5B5F63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B" w:sz="4" w:space="4"/>
      </w:pBdr>
      <w:tabs>
        <w:tab w:val="right" w:pos="9026"/>
      </w:tabs>
    </w:pPr>
    <w:r>
      <w:rPr>
        <w:rFonts w:ascii="Calibri" w:cs="Calibri" w:eastAsia="Calibri" w:hAnsi="Calibri"/>
        <w:color w:val="5B5F63"/>
        <w:sz w:val="15"/>
        <w:szCs w:val="15"/>
      </w:rPr>
      <w:t xml:space="preserve">BOTTLENECK — Mission 1 Partie 1</w:t>
    </w:r>
    <w:r>
      <w:rPr>
        <w:rFonts w:ascii="Calibri" w:cs="Calibri" w:eastAsia="Calibri" w:hAnsi="Calibri"/>
        <w:b/>
        <w:bCs/>
        <w:color w:val="1F7A8C"/>
        <w:sz w:val="15"/>
        <w:szCs w:val="15"/>
      </w:rPr>
      <w:t xml:space="preserve">	PROJET_ORGANISATION.docx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ea4c2c0976e14880bc110b7414ca62afb9b7642.png"/><Relationship Id="rId10" Type="http://schemas.openxmlformats.org/officeDocument/2006/relationships/image" Target="media/8afb7232bc6f493f1661c74c3506c0a010d13cd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2026-08-08T11:59:34.194Z</dcterms:created>
  <dcterms:modified xsi:type="dcterms:W3CDTF">2026-08-08T11:59:34.195Z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