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E8622C"/>
          <w:spacing w:val="20"/>
          <w:sz w:val="20"/>
          <w:szCs w:val="20"/>
        </w:rPr>
        <w:t xml:space="preserve">ÉTAPE 2</w:t>
      </w:r>
    </w:p>
    <w:p>
      <w:pPr>
        <w:spacing w:after="120"/>
      </w:pPr>
      <w:r>
        <w:rPr>
          <w:rFonts w:ascii="Calibri" w:cs="Calibri" w:eastAsia="Calibri" w:hAnsi="Calibri"/>
          <w:b/>
          <w:bCs/>
          <w:color w:val="134652"/>
          <w:sz w:val="52"/>
          <w:szCs w:val="52"/>
        </w:rPr>
        <w:t xml:space="preserve">Cahier des charges fonctionnel</w:t>
      </w:r>
    </w:p>
    <w:p>
      <w:pPr>
        <w:pBdr>
          <w:bottom w:val="single" w:color="1F7A8C" w:sz="12" w:space="12"/>
        </w:pBdr>
        <w:spacing w:after="260"/>
      </w:pPr>
      <w:r>
        <w:rPr>
          <w:rFonts w:ascii="Calibri" w:cs="Calibri" w:eastAsia="Calibri" w:hAnsi="Calibri"/>
          <w:i/>
          <w:iCs/>
          <w:color w:val="5B5F63"/>
          <w:sz w:val="24"/>
          <w:szCs w:val="24"/>
        </w:rPr>
        <w:t xml:space="preserve">Fiabilisation et enrichissement de l'analyse stock / ventes Bottleneck</w:t>
      </w:r>
    </w:p>
    <w:p>
      <w:pPr>
        <w:spacing w:after="40"/>
      </w:pPr>
      <w:r>
        <w:rPr>
          <w:rFonts w:ascii="Calibri" w:cs="Calibri" w:eastAsia="Calibri" w:hAnsi="Calibri"/>
          <w:b/>
          <w:bCs/>
          <w:color w:val="134652"/>
          <w:sz w:val="18"/>
          <w:szCs w:val="18"/>
        </w:rPr>
        <w:t xml:space="preserve">BOTTLENECK</w:t>
      </w:r>
      <w:r>
        <w:rPr>
          <w:rFonts w:ascii="Calibri" w:cs="Calibri" w:eastAsia="Calibri" w:hAnsi="Calibri"/>
          <w:color w:val="5B5F63"/>
          <w:sz w:val="18"/>
          <w:szCs w:val="18"/>
        </w:rPr>
        <w:t xml:space="preserve">  ·  Mission 1 — Partie 1  ·  Amélioration critique du livrable Projet 6</w:t>
      </w:r>
    </w:p>
    <w:p>
      <w:pPr>
        <w:spacing w:after="480"/>
      </w:pPr>
      <w:r>
        <w:rPr>
          <w:rFonts w:ascii="Calibri" w:cs="Calibri" w:eastAsia="Calibri" w:hAnsi="Calibri"/>
          <w:color w:val="5B5F63"/>
          <w:sz w:val="18"/>
          <w:szCs w:val="18"/>
        </w:rPr>
        <w:t xml:space="preserve">Kawtar Belkacemi</w:t>
      </w:r>
      <w:r>
        <w:rPr>
          <w:rFonts w:ascii="Calibri" w:cs="Calibri" w:eastAsia="Calibri" w:hAnsi="Calibri"/>
          <w:color w:val="5B5F63"/>
          <w:sz w:val="18"/>
          <w:szCs w:val="18"/>
        </w:rPr>
        <w:t xml:space="preserve">   ·   Formation Data Analyst — OpenClassrooms   ·   Août 2026</w:t>
      </w:r>
    </w:p>
    <w:p>
      <w:pPr>
        <w:spacing w:after="130" w:before="60"/>
      </w:pPr>
      <w:r>
        <w:rPr>
          <w:rFonts w:ascii="Calibri" w:cs="Calibri" w:eastAsia="Calibri" w:hAnsi="Calibri"/>
          <w:b/>
          <w:bCs/>
          <w:color w:val="134652"/>
          <w:spacing w:val="25"/>
          <w:sz w:val="17"/>
          <w:szCs w:val="17"/>
        </w:rPr>
        <w:t xml:space="preserve">SOMMAIRE</w:t>
      </w:r>
    </w:p>
    <w:p>
      <w:pPr>
        <w:tabs>
          <w:tab w:val="right" w:pos="9200"/>
        </w:tabs>
        <w:spacing w:after="70"/>
      </w:pPr>
      <w:r>
        <w:rPr>
          <w:rFonts w:ascii="Consolas" w:cs="Consolas" w:eastAsia="Consolas" w:hAnsi="Consolas"/>
          <w:color w:val="E8622C"/>
          <w:sz w:val="17"/>
          <w:szCs w:val="17"/>
        </w:rPr>
        <w:t xml:space="preserve">01   </w:t>
      </w:r>
      <w:r>
        <w:rPr>
          <w:rFonts w:ascii="Calibri" w:cs="Calibri" w:eastAsia="Calibri" w:hAnsi="Calibri"/>
          <w:color w:val="222222"/>
          <w:sz w:val="19"/>
          <w:szCs w:val="19"/>
        </w:rPr>
        <w:t xml:space="preserve">Contexte &amp; parties prenantes</w:t>
      </w:r>
    </w:p>
    <w:p>
      <w:pPr>
        <w:tabs>
          <w:tab w:val="right" w:pos="9200"/>
        </w:tabs>
        <w:spacing w:after="70"/>
      </w:pPr>
      <w:r>
        <w:rPr>
          <w:rFonts w:ascii="Consolas" w:cs="Consolas" w:eastAsia="Consolas" w:hAnsi="Consolas"/>
          <w:color w:val="E8622C"/>
          <w:sz w:val="17"/>
          <w:szCs w:val="17"/>
        </w:rPr>
        <w:t xml:space="preserve">02   </w:t>
      </w:r>
      <w:r>
        <w:rPr>
          <w:rFonts w:ascii="Calibri" w:cs="Calibri" w:eastAsia="Calibri" w:hAnsi="Calibri"/>
          <w:color w:val="222222"/>
          <w:sz w:val="19"/>
          <w:szCs w:val="19"/>
        </w:rPr>
        <w:t xml:space="preserve">Problématique métier reformulée</w:t>
      </w:r>
    </w:p>
    <w:p>
      <w:pPr>
        <w:tabs>
          <w:tab w:val="right" w:pos="9200"/>
        </w:tabs>
        <w:spacing w:after="70"/>
      </w:pPr>
      <w:r>
        <w:rPr>
          <w:rFonts w:ascii="Consolas" w:cs="Consolas" w:eastAsia="Consolas" w:hAnsi="Consolas"/>
          <w:color w:val="E8622C"/>
          <w:sz w:val="17"/>
          <w:szCs w:val="17"/>
        </w:rPr>
        <w:t xml:space="preserve">03   </w:t>
      </w:r>
      <w:r>
        <w:rPr>
          <w:rFonts w:ascii="Calibri" w:cs="Calibri" w:eastAsia="Calibri" w:hAnsi="Calibri"/>
          <w:color w:val="222222"/>
          <w:sz w:val="19"/>
          <w:szCs w:val="19"/>
        </w:rPr>
        <w:t xml:space="preserve">Périmètre</w:t>
      </w:r>
    </w:p>
    <w:p>
      <w:pPr>
        <w:tabs>
          <w:tab w:val="right" w:pos="9200"/>
        </w:tabs>
        <w:spacing w:after="70"/>
      </w:pPr>
      <w:r>
        <w:rPr>
          <w:rFonts w:ascii="Consolas" w:cs="Consolas" w:eastAsia="Consolas" w:hAnsi="Consolas"/>
          <w:color w:val="E8622C"/>
          <w:sz w:val="17"/>
          <w:szCs w:val="17"/>
        </w:rPr>
        <w:t xml:space="preserve">04   </w:t>
      </w:r>
      <w:r>
        <w:rPr>
          <w:rFonts w:ascii="Calibri" w:cs="Calibri" w:eastAsia="Calibri" w:hAnsi="Calibri"/>
          <w:color w:val="222222"/>
          <w:sz w:val="19"/>
          <w:szCs w:val="19"/>
        </w:rPr>
        <w:t xml:space="preserve">Contraintes du projet</w:t>
      </w:r>
    </w:p>
    <w:p>
      <w:pPr>
        <w:tabs>
          <w:tab w:val="right" w:pos="9200"/>
        </w:tabs>
        <w:spacing w:after="70"/>
      </w:pPr>
      <w:r>
        <w:rPr>
          <w:rFonts w:ascii="Consolas" w:cs="Consolas" w:eastAsia="Consolas" w:hAnsi="Consolas"/>
          <w:color w:val="E8622C"/>
          <w:sz w:val="17"/>
          <w:szCs w:val="17"/>
        </w:rPr>
        <w:t xml:space="preserve">05   </w:t>
      </w:r>
      <w:r>
        <w:rPr>
          <w:rFonts w:ascii="Calibri" w:cs="Calibri" w:eastAsia="Calibri" w:hAnsi="Calibri"/>
          <w:color w:val="222222"/>
          <w:sz w:val="19"/>
          <w:szCs w:val="19"/>
        </w:rPr>
        <w:t xml:space="preserve">Volumétrie et repères chiffrés</w:t>
      </w:r>
    </w:p>
    <w:p>
      <w:pPr>
        <w:tabs>
          <w:tab w:val="right" w:pos="9200"/>
        </w:tabs>
        <w:spacing w:after="70"/>
      </w:pPr>
      <w:r>
        <w:rPr>
          <w:rFonts w:ascii="Consolas" w:cs="Consolas" w:eastAsia="Consolas" w:hAnsi="Consolas"/>
          <w:color w:val="E8622C"/>
          <w:sz w:val="17"/>
          <w:szCs w:val="17"/>
        </w:rPr>
        <w:t xml:space="preserve">06   </w:t>
      </w:r>
      <w:r>
        <w:rPr>
          <w:rFonts w:ascii="Calibri" w:cs="Calibri" w:eastAsia="Calibri" w:hAnsi="Calibri"/>
          <w:color w:val="222222"/>
          <w:sz w:val="19"/>
          <w:szCs w:val="19"/>
        </w:rPr>
        <w:t xml:space="preserve">Ressources mobilisées</w:t>
      </w:r>
    </w:p>
    <w:p>
      <w:pPr>
        <w:tabs>
          <w:tab w:val="right" w:pos="9200"/>
        </w:tabs>
        <w:spacing w:after="70"/>
      </w:pPr>
      <w:r>
        <w:rPr>
          <w:rFonts w:ascii="Consolas" w:cs="Consolas" w:eastAsia="Consolas" w:hAnsi="Consolas"/>
          <w:color w:val="E8622C"/>
          <w:sz w:val="17"/>
          <w:szCs w:val="17"/>
        </w:rPr>
        <w:t xml:space="preserve">07   </w:t>
      </w:r>
      <w:r>
        <w:rPr>
          <w:rFonts w:ascii="Calibri" w:cs="Calibri" w:eastAsia="Calibri" w:hAnsi="Calibri"/>
          <w:color w:val="222222"/>
          <w:sz w:val="19"/>
          <w:szCs w:val="19"/>
        </w:rPr>
        <w:t xml:space="preserve">Critères de réussite / KPI mesurables</w:t>
      </w:r>
    </w:p>
    <w:p>
      <w:pPr>
        <w:tabs>
          <w:tab w:val="right" w:pos="9200"/>
        </w:tabs>
        <w:spacing w:after="70"/>
      </w:pPr>
      <w:r>
        <w:rPr>
          <w:rFonts w:ascii="Consolas" w:cs="Consolas" w:eastAsia="Consolas" w:hAnsi="Consolas"/>
          <w:color w:val="E8622C"/>
          <w:sz w:val="17"/>
          <w:szCs w:val="17"/>
        </w:rPr>
        <w:t xml:space="preserve">08   </w:t>
      </w:r>
      <w:r>
        <w:rPr>
          <w:rFonts w:ascii="Calibri" w:cs="Calibri" w:eastAsia="Calibri" w:hAnsi="Calibri"/>
          <w:color w:val="222222"/>
          <w:sz w:val="19"/>
          <w:szCs w:val="19"/>
        </w:rPr>
        <w:t xml:space="preserve">Besoins en formation et plan d'accompagnement</w:t>
      </w:r>
    </w:p>
    <w:p>
      <w:pPr>
        <w:tabs>
          <w:tab w:val="right" w:pos="9200"/>
        </w:tabs>
        <w:spacing w:after="70"/>
      </w:pPr>
      <w:r>
        <w:rPr>
          <w:rFonts w:ascii="Consolas" w:cs="Consolas" w:eastAsia="Consolas" w:hAnsi="Consolas"/>
          <w:color w:val="E8622C"/>
          <w:sz w:val="17"/>
          <w:szCs w:val="17"/>
        </w:rPr>
        <w:t xml:space="preserve">09   </w:t>
      </w:r>
      <w:r>
        <w:rPr>
          <w:rFonts w:ascii="Calibri" w:cs="Calibri" w:eastAsia="Calibri" w:hAnsi="Calibri"/>
          <w:color w:val="222222"/>
          <w:sz w:val="19"/>
          <w:szCs w:val="19"/>
        </w:rPr>
        <w:t xml:space="preserve">Critères d'acceptation</w:t>
      </w:r>
    </w:p>
    <w:p>
      <w:pPr>
        <w:pBdr>
          <w:bottom w:val="single" w:color="1F7A8C" w:sz="6" w:space="10"/>
        </w:pBdr>
        <w:spacing w:after="340"/>
      </w:pPr>
    </w:p>
    <w:p>
      <w:pPr>
        <w:pStyle w:val="Heading1"/>
        <w:pBdr>
          <w:bottom w:val="single" w:color="1F7A8C" w:sz="6" w:space="6"/>
        </w:pBdr>
        <w:spacing w:after="200" w:before="420"/>
      </w:pPr>
      <w:r>
        <w:rPr>
          <w:rFonts w:ascii="Calibri" w:cs="Calibri" w:eastAsia="Calibri" w:hAnsi="Calibri"/>
          <w:b/>
          <w:bCs/>
          <w:color w:val="134652"/>
          <w:sz w:val="30"/>
          <w:szCs w:val="30"/>
        </w:rPr>
        <w:t xml:space="preserve">1. Contexte &amp; parties prenantes</w:t>
      </w:r>
    </w:p>
    <w:p>
      <w:pPr>
        <w:spacing w:after="160" w:line="300"/>
      </w:pPr>
      <w:r>
        <w:rPr>
          <w:rFonts w:ascii="Calibri" w:cs="Calibri" w:eastAsia="Calibri" w:hAnsi="Calibri"/>
          <w:b w:val="false"/>
          <w:bCs w:val="false"/>
          <w:i w:val="false"/>
          <w:iCs w:val="false"/>
          <w:color w:val="222222"/>
          <w:sz w:val="21"/>
          <w:szCs w:val="21"/>
        </w:rPr>
        <w:t xml:space="preserve">Bottleneck est un caviste en ligne dont le système d'information est éclaté en deux briques : un ERP (erp.xlsx) qui gère prix d'achat, prix de vente et stock, et un CMS e-commerce (web.xlsx) qui gère le catalogue et les ventes en ligne, les deux étant reliés par une table de correspondance (liaison.xlsx).</w:t>
      </w:r>
    </w:p>
    <w:p>
      <w:pPr>
        <w:spacing w:after="160" w:line="300"/>
      </w:pPr>
      <w:r>
        <w:rPr>
          <w:rFonts w:ascii="Calibri" w:cs="Calibri" w:eastAsia="Calibri" w:hAnsi="Calibri"/>
          <w:b w:val="false"/>
          <w:bCs w:val="false"/>
          <w:i/>
          <w:iCs/>
          <w:color w:val="222222"/>
          <w:sz w:val="21"/>
          <w:szCs w:val="21"/>
        </w:rPr>
        <w:t xml:space="preserve">Bottleneck est le cas d'étude fourni avec le projet 6 : les données sont réelles et exploitées telles quelles, mais l'entreprise et ses équipes sont celles que décrit l'énoncé. Les parties prenantes ci-dessous, leurs rôles et le plan de formation de la section 8 décrivent donc le dispositif que je mettrais en place dans ce contexte. Tout ce qui est chiffré dans ce document provient en revanche d'une exécution réelle du notebook.</w:t>
      </w:r>
    </w:p>
    <w:p>
      <w:pPr>
        <w:spacing w:before="60"/>
      </w:pP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900"/>
        <w:gridCol w:w="1700"/>
        <w:gridCol w:w="5020"/>
      </w:tblGrid>
      <w:tr>
        <w:trPr>
          <w:cantSplit/>
          <w:tblHeader/>
        </w:trPr>
        <w:tc>
          <w:tcPr>
            <w:tcW w:type="dxa" w:w="29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Partie prenante</w:t>
            </w:r>
          </w:p>
        </w:tc>
        <w:tc>
          <w:tcPr>
            <w:tcW w:type="dxa" w:w="17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Rôle</w:t>
            </w:r>
          </w:p>
        </w:tc>
        <w:tc>
          <w:tcPr>
            <w:tcW w:type="dxa" w:w="50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Utilisation de l'analyse</w:t>
            </w:r>
          </w:p>
        </w:tc>
      </w:tr>
      <w:tr>
        <w:trPr>
          <w:cantSplit/>
        </w:trPr>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Data analyst (moi)</w:t>
            </w:r>
          </w:p>
        </w:tc>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Réalise</w:t>
            </w:r>
          </w:p>
        </w:tc>
        <w:tc>
          <w:tcPr>
            <w:tcW w:type="dxa" w:w="50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Conçoit la démarche, code, exécute, documente et restitue</w:t>
            </w:r>
          </w:p>
        </w:tc>
      </w:tr>
      <w:tr>
        <w:trPr>
          <w:cantSplit/>
        </w:trPr>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Contrôle de gestion / finance</w:t>
            </w:r>
          </w:p>
        </w:tc>
        <w:tc>
          <w:tcPr>
            <w:tcW w:type="dxa" w:w="17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Valide</w:t>
            </w:r>
          </w:p>
        </w:tc>
        <w:tc>
          <w:tcPr>
            <w:tcW w:type="dxa" w:w="50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Arbitre les anomalies détectées et le taux de marge avant toute action</w:t>
            </w:r>
          </w:p>
        </w:tc>
      </w:tr>
      <w:tr>
        <w:trPr>
          <w:cantSplit/>
        </w:trPr>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Supply chain / stocks</w:t>
            </w:r>
          </w:p>
        </w:tc>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Contribue</w:t>
            </w:r>
          </w:p>
        </w:tc>
        <w:tc>
          <w:tcPr>
            <w:tcW w:type="dxa" w:w="50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Fournit le contexte métier sur la rotation ; qualifie les anomalies stock/ventes</w:t>
            </w:r>
          </w:p>
        </w:tc>
      </w:tr>
      <w:tr>
        <w:trPr>
          <w:cantSplit/>
        </w:trPr>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Direction commerciale</w:t>
            </w:r>
          </w:p>
        </w:tc>
        <w:tc>
          <w:tcPr>
            <w:tcW w:type="dxa" w:w="17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Consultée</w:t>
            </w:r>
          </w:p>
        </w:tc>
        <w:tc>
          <w:tcPr>
            <w:tcW w:type="dxa" w:w="50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Priorise les références ; exploite le CA, le Top 20 et la règle des 80/20</w:t>
            </w:r>
          </w:p>
        </w:tc>
      </w:tr>
      <w:tr>
        <w:trPr>
          <w:cantSplit/>
        </w:trPr>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Direction des systèmes d'information</w:t>
            </w:r>
          </w:p>
        </w:tc>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Informée</w:t>
            </w:r>
          </w:p>
        </w:tc>
        <w:tc>
          <w:tcPr>
            <w:tcW w:type="dxa" w:w="50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Destinataire du taux d'articles non appariés ERP/web</w:t>
            </w:r>
          </w:p>
        </w:tc>
      </w:tr>
    </w:tbl>
    <w:p>
      <w:pPr>
        <w:keepNext/>
        <w:keepLines/>
        <w:spacing w:after="90" w:before="260"/>
        <w:jc w:val="center"/>
      </w:pPr>
      <w:r>
        <w:drawing>
          <wp:inline distT="0" distB="0" distL="0" distR="0">
            <wp:extent cx="4320007" cy="16200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0007" cy="1620002"/>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1 — Rôle de chaque partie prenante dans le projet.</w:t>
      </w:r>
    </w:p>
    <w:p>
      <w:pPr>
        <w:pStyle w:val="Heading1"/>
        <w:pBdr>
          <w:bottom w:val="single" w:color="1F7A8C" w:sz="6" w:space="6"/>
        </w:pBdr>
        <w:spacing w:after="200" w:before="420"/>
      </w:pPr>
      <w:r>
        <w:rPr>
          <w:rFonts w:ascii="Calibri" w:cs="Calibri" w:eastAsia="Calibri" w:hAnsi="Calibri"/>
          <w:b/>
          <w:bCs/>
          <w:color w:val="134652"/>
          <w:sz w:val="30"/>
          <w:szCs w:val="30"/>
        </w:rPr>
        <w:t xml:space="preserve">2. Problématique métier reformulée</w:t>
      </w:r>
    </w:p>
    <w:p>
      <w:pPr>
        <w:spacing w:after="200"/>
      </w:pPr>
    </w:p>
    <w:tbl>
      <w:tblPr>
        <w:tblW w:type="dxa" w:w="9648"/>
        <w:tblBorders>
          <w:top w:val="single" w:color="E8622C" w:sz="4"/>
          <w:left w:val="single" w:color="E8622C" w:sz="24"/>
          <w:bottom w:val="single" w:color="E8622C" w:sz="4"/>
          <w:right w:val="single" w:color="E8622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E8622C"/>
                <w:spacing w:val="15"/>
                <w:sz w:val="17"/>
                <w:szCs w:val="17"/>
              </w:rPr>
              <w:t xml:space="preserve">PROBLÉMATIQUE</w:t>
            </w:r>
          </w:p>
          <w:p>
            <w:r>
              <w:rPr>
                <w:rFonts w:ascii="Calibri" w:cs="Calibri" w:eastAsia="Calibri" w:hAnsi="Calibri"/>
                <w:i/>
                <w:iCs/>
                <w:color w:val="2B2B2B"/>
                <w:sz w:val="21"/>
                <w:szCs w:val="21"/>
              </w:rPr>
              <w:t xml:space="preserve">Comment fiabiliser le rapprochement entre les données ERP (stock, prix d'achat) et les données du site web (catalogue, ventes), afin de produire des indicateurs de chiffre d'affaires, de rotation de stock et de marge fiables, et détecter, au-delà des simples erreurs de prix, les anomalies de gestion qu'une lecture univariée du prix ne permet pas de voir ?</w:t>
            </w:r>
          </w:p>
        </w:tc>
      </w:tr>
    </w:tbl>
    <w:p>
      <w:pPr>
        <w:pStyle w:val="Heading1"/>
        <w:pBdr>
          <w:bottom w:val="single" w:color="1F7A8C" w:sz="6" w:space="6"/>
        </w:pBdr>
        <w:spacing w:after="200" w:before="420"/>
      </w:pPr>
      <w:r>
        <w:rPr>
          <w:rFonts w:ascii="Calibri" w:cs="Calibri" w:eastAsia="Calibri" w:hAnsi="Calibri"/>
          <w:b/>
          <w:bCs/>
          <w:color w:val="134652"/>
          <w:sz w:val="30"/>
          <w:szCs w:val="30"/>
        </w:rPr>
        <w:t xml:space="preserve">3. Périmètre</w:t>
      </w:r>
    </w:p>
    <w:p>
      <w:pPr>
        <w:pStyle w:val="Heading2"/>
        <w:spacing w:after="140" w:before="300"/>
      </w:pPr>
      <w:r>
        <w:rPr>
          <w:rFonts w:ascii="Calibri" w:cs="Calibri" w:eastAsia="Calibri" w:hAnsi="Calibri"/>
          <w:b/>
          <w:bCs/>
          <w:color w:val="134652"/>
          <w:sz w:val="24"/>
          <w:szCs w:val="24"/>
        </w:rPr>
        <w:t xml:space="preserve">Ce qui est traité</w:t>
      </w:r>
    </w:p>
    <w:p>
      <w:pPr>
        <w:pStyle w:val="ListParagraph"/>
        <w:numPr>
          <w:ilvl w:val="0"/>
          <w:numId w:val="1"/>
        </w:numPr>
        <w:spacing w:after="100" w:line="290"/>
      </w:pPr>
      <w:r>
        <w:rPr>
          <w:rFonts w:ascii="Calibri" w:cs="Calibri" w:eastAsia="Calibri" w:hAnsi="Calibri"/>
          <w:b/>
          <w:bCs/>
          <w:color w:val="222222"/>
          <w:sz w:val="21"/>
          <w:szCs w:val="21"/>
        </w:rPr>
        <w:t xml:space="preserve"/>
      </w:r>
      <w:r>
        <w:rPr>
          <w:rFonts w:ascii="Calibri" w:cs="Calibri" w:eastAsia="Calibri" w:hAnsi="Calibri"/>
          <w:color w:val="222222"/>
          <w:sz w:val="21"/>
          <w:szCs w:val="21"/>
        </w:rPr>
        <w:t xml:space="preserve">Données catalogue et transactionnelles agrégées par article : prix de vente, prix d'achat, quantité en stock, quantité vendue, statut de mise en vente</w:t>
      </w:r>
    </w:p>
    <w:p>
      <w:pPr>
        <w:pStyle w:val="ListParagraph"/>
        <w:numPr>
          <w:ilvl w:val="0"/>
          <w:numId w:val="1"/>
        </w:numPr>
        <w:spacing w:after="100" w:line="290"/>
      </w:pPr>
      <w:r>
        <w:rPr>
          <w:rFonts w:ascii="Calibri" w:cs="Calibri" w:eastAsia="Calibri" w:hAnsi="Calibri"/>
          <w:b/>
          <w:bCs/>
          <w:color w:val="222222"/>
          <w:sz w:val="21"/>
          <w:szCs w:val="21"/>
        </w:rPr>
        <w:t xml:space="preserve"/>
      </w:r>
      <w:r>
        <w:rPr>
          <w:rFonts w:ascii="Calibri" w:cs="Calibri" w:eastAsia="Calibri" w:hAnsi="Calibri"/>
          <w:color w:val="222222"/>
          <w:sz w:val="21"/>
          <w:szCs w:val="21"/>
        </w:rPr>
        <w:t xml:space="preserve">Un instantané du catalogue à un instant T : 825 références ERP, 714 références actives côté web après nettoyage</w:t>
      </w:r>
    </w:p>
    <w:p>
      <w:pPr>
        <w:pStyle w:val="ListParagraph"/>
        <w:numPr>
          <w:ilvl w:val="0"/>
          <w:numId w:val="1"/>
        </w:numPr>
        <w:spacing w:after="100" w:line="290"/>
      </w:pPr>
      <w:r>
        <w:rPr>
          <w:rFonts w:ascii="Calibri" w:cs="Calibri" w:eastAsia="Calibri" w:hAnsi="Calibri"/>
          <w:b/>
          <w:bCs/>
          <w:color w:val="222222"/>
          <w:sz w:val="21"/>
          <w:szCs w:val="21"/>
        </w:rPr>
        <w:t xml:space="preserve"/>
      </w:r>
      <w:r>
        <w:rPr>
          <w:rFonts w:ascii="Calibri" w:cs="Calibri" w:eastAsia="Calibri" w:hAnsi="Calibri"/>
          <w:color w:val="222222"/>
          <w:sz w:val="21"/>
          <w:szCs w:val="21"/>
        </w:rPr>
        <w:t xml:space="preserve">Analyses univariées (prix, CA, quantités, marge, rotation) et une analyse multivariée (anomalies, deux méthodes comparées) et de corrélation</w:t>
      </w:r>
    </w:p>
    <w:p>
      <w:pPr>
        <w:pStyle w:val="Heading2"/>
        <w:spacing w:after="140" w:before="300"/>
      </w:pPr>
      <w:r>
        <w:rPr>
          <w:rFonts w:ascii="Calibri" w:cs="Calibri" w:eastAsia="Calibri" w:hAnsi="Calibri"/>
          <w:b/>
          <w:bCs/>
          <w:color w:val="134652"/>
          <w:sz w:val="24"/>
          <w:szCs w:val="24"/>
        </w:rPr>
        <w:t xml:space="preserve">Ce qui n'est explicitement pas traité</w:t>
      </w:r>
    </w:p>
    <w:p>
      <w:pPr>
        <w:pStyle w:val="ListParagraph"/>
        <w:numPr>
          <w:ilvl w:val="0"/>
          <w:numId w:val="1"/>
        </w:numPr>
        <w:spacing w:after="100" w:line="290"/>
      </w:pPr>
      <w:r>
        <w:rPr>
          <w:rFonts w:ascii="Calibri" w:cs="Calibri" w:eastAsia="Calibri" w:hAnsi="Calibri"/>
          <w:b/>
          <w:bCs/>
          <w:color w:val="222222"/>
          <w:sz w:val="21"/>
          <w:szCs w:val="21"/>
        </w:rPr>
        <w:t xml:space="preserve">Aucune série temporelle : </w:t>
      </w:r>
      <w:r>
        <w:rPr>
          <w:rFonts w:ascii="Calibri" w:cs="Calibri" w:eastAsia="Calibri" w:hAnsi="Calibri"/>
          <w:color w:val="222222"/>
          <w:sz w:val="21"/>
          <w:szCs w:val="21"/>
        </w:rPr>
        <w:t xml:space="preserve">aucune colonne de date exploitable ; total_sales est un cumul, pas un historique.</w:t>
      </w:r>
    </w:p>
    <w:p>
      <w:pPr>
        <w:pStyle w:val="ListParagraph"/>
        <w:numPr>
          <w:ilvl w:val="0"/>
          <w:numId w:val="1"/>
        </w:numPr>
        <w:spacing w:after="100" w:line="290"/>
      </w:pPr>
      <w:r>
        <w:rPr>
          <w:rFonts w:ascii="Calibri" w:cs="Calibri" w:eastAsia="Calibri" w:hAnsi="Calibri"/>
          <w:b/>
          <w:bCs/>
          <w:color w:val="222222"/>
          <w:sz w:val="21"/>
          <w:szCs w:val="21"/>
        </w:rPr>
        <w:t xml:space="preserve">Aucune donnée client : </w:t>
      </w:r>
      <w:r>
        <w:rPr>
          <w:rFonts w:ascii="Calibri" w:cs="Calibri" w:eastAsia="Calibri" w:hAnsi="Calibri"/>
          <w:color w:val="222222"/>
          <w:sz w:val="21"/>
          <w:szCs w:val="21"/>
        </w:rPr>
        <w:t xml:space="preserve">l'analyse reste au niveau de l'article (pas de segmentation client, panier moyen, LTV).</w:t>
      </w:r>
    </w:p>
    <w:p>
      <w:pPr>
        <w:pStyle w:val="ListParagraph"/>
        <w:numPr>
          <w:ilvl w:val="0"/>
          <w:numId w:val="1"/>
        </w:numPr>
        <w:spacing w:after="100" w:line="290"/>
      </w:pPr>
      <w:r>
        <w:rPr>
          <w:rFonts w:ascii="Calibri" w:cs="Calibri" w:eastAsia="Calibri" w:hAnsi="Calibri"/>
          <w:b/>
          <w:bCs/>
          <w:color w:val="222222"/>
          <w:sz w:val="21"/>
          <w:szCs w:val="21"/>
        </w:rPr>
        <w:t xml:space="preserve">Aucune donnée fournisseur/logistique détaillée : </w:t>
      </w:r>
      <w:r>
        <w:rPr>
          <w:rFonts w:ascii="Calibri" w:cs="Calibri" w:eastAsia="Calibri" w:hAnsi="Calibri"/>
          <w:color w:val="222222"/>
          <w:sz w:val="21"/>
          <w:szCs w:val="21"/>
        </w:rPr>
        <w:t xml:space="preserve">la valorisation se limite à quantité × prix d'achat.</w:t>
      </w:r>
    </w:p>
    <w:p>
      <w:pPr>
        <w:pStyle w:val="ListParagraph"/>
        <w:numPr>
          <w:ilvl w:val="0"/>
          <w:numId w:val="1"/>
        </w:numPr>
        <w:spacing w:after="100" w:line="290"/>
      </w:pPr>
      <w:r>
        <w:rPr>
          <w:rFonts w:ascii="Calibri" w:cs="Calibri" w:eastAsia="Calibri" w:hAnsi="Calibri"/>
          <w:b/>
          <w:bCs/>
          <w:color w:val="222222"/>
          <w:sz w:val="21"/>
          <w:szCs w:val="21"/>
        </w:rPr>
        <w:t xml:space="preserve">RGPD non applicable : </w:t>
      </w:r>
      <w:r>
        <w:rPr>
          <w:rFonts w:ascii="Calibri" w:cs="Calibri" w:eastAsia="Calibri" w:hAnsi="Calibri"/>
          <w:color w:val="222222"/>
          <w:sz w:val="21"/>
          <w:szCs w:val="21"/>
        </w:rPr>
        <w:t xml:space="preserve">aucune donnée à caractère personnel dans les 3 fichiers sources.</w:t>
      </w:r>
    </w:p>
    <w:p>
      <w:pPr>
        <w:pStyle w:val="Heading2"/>
        <w:spacing w:after="140" w:before="300"/>
      </w:pPr>
      <w:r>
        <w:rPr>
          <w:rFonts w:ascii="Calibri" w:cs="Calibri" w:eastAsia="Calibri" w:hAnsi="Calibri"/>
          <w:b/>
          <w:bCs/>
          <w:color w:val="134652"/>
          <w:sz w:val="24"/>
          <w:szCs w:val="24"/>
        </w:rPr>
        <w:t xml:space="preserve">Éléments prioritaires</w:t>
      </w:r>
    </w:p>
    <w:p>
      <w:pPr>
        <w:spacing w:after="160" w:line="300"/>
      </w:pPr>
      <w:r>
        <w:rPr>
          <w:rFonts w:ascii="Calibri" w:cs="Calibri" w:eastAsia="Calibri" w:hAnsi="Calibri"/>
          <w:b w:val="false"/>
          <w:bCs w:val="false"/>
          <w:i w:val="false"/>
          <w:iCs w:val="false"/>
          <w:color w:val="222222"/>
          <w:sz w:val="21"/>
          <w:szCs w:val="21"/>
        </w:rPr>
        <w:t xml:space="preserve">Tout n'a pas le même poids. Par ordre décroissant de priorité :</w:t>
      </w:r>
    </w:p>
    <w:p>
      <w:pPr>
        <w:pStyle w:val="ListParagraph"/>
        <w:numPr>
          <w:ilvl w:val="0"/>
          <w:numId w:val="1"/>
        </w:numPr>
        <w:spacing w:after="100" w:line="290"/>
      </w:pPr>
      <w:r>
        <w:rPr>
          <w:rFonts w:ascii="Calibri" w:cs="Calibri" w:eastAsia="Calibri" w:hAnsi="Calibri"/>
          <w:b/>
          <w:bCs/>
          <w:color w:val="222222"/>
          <w:sz w:val="21"/>
          <w:szCs w:val="21"/>
        </w:rPr>
        <w:t xml:space="preserve">1 — Fiabiliser le rapprochement ERP / web. </w:t>
      </w:r>
      <w:r>
        <w:rPr>
          <w:rFonts w:ascii="Calibri" w:cs="Calibri" w:eastAsia="Calibri" w:hAnsi="Calibri"/>
          <w:color w:val="222222"/>
          <w:sz w:val="21"/>
          <w:szCs w:val="21"/>
        </w:rPr>
        <w:t xml:space="preserve">Sans lui, aucun indicateur n'est défendable. Prioritaire parce que tout le reste en dépend.</w:t>
      </w:r>
    </w:p>
    <w:p>
      <w:pPr>
        <w:pStyle w:val="ListParagraph"/>
        <w:numPr>
          <w:ilvl w:val="0"/>
          <w:numId w:val="1"/>
        </w:numPr>
        <w:spacing w:after="100" w:line="290"/>
      </w:pPr>
      <w:r>
        <w:rPr>
          <w:rFonts w:ascii="Calibri" w:cs="Calibri" w:eastAsia="Calibri" w:hAnsi="Calibri"/>
          <w:b/>
          <w:bCs/>
          <w:color w:val="222222"/>
          <w:sz w:val="21"/>
          <w:szCs w:val="21"/>
        </w:rPr>
        <w:t xml:space="preserve">2 — Détecter les anomalies que le prix seul ne montre pas. </w:t>
      </w:r>
      <w:r>
        <w:rPr>
          <w:rFonts w:ascii="Calibri" w:cs="Calibri" w:eastAsia="Calibri" w:hAnsi="Calibri"/>
          <w:color w:val="222222"/>
          <w:sz w:val="21"/>
          <w:szCs w:val="21"/>
        </w:rPr>
        <w:t xml:space="preserve">C'est la valeur ajoutée attendue par la supply chain et le contrôle de gestion.</w:t>
      </w:r>
    </w:p>
    <w:p>
      <w:pPr>
        <w:pStyle w:val="ListParagraph"/>
        <w:numPr>
          <w:ilvl w:val="0"/>
          <w:numId w:val="1"/>
        </w:numPr>
        <w:spacing w:after="100" w:line="290"/>
      </w:pPr>
      <w:r>
        <w:rPr>
          <w:rFonts w:ascii="Calibri" w:cs="Calibri" w:eastAsia="Calibri" w:hAnsi="Calibri"/>
          <w:b/>
          <w:bCs/>
          <w:color w:val="222222"/>
          <w:sz w:val="21"/>
          <w:szCs w:val="21"/>
        </w:rPr>
        <w:t xml:space="preserve">3 — Valider statistiquement les corrélations. </w:t>
      </w:r>
      <w:r>
        <w:rPr>
          <w:rFonts w:ascii="Calibri" w:cs="Calibri" w:eastAsia="Calibri" w:hAnsi="Calibri"/>
          <w:color w:val="222222"/>
          <w:sz w:val="21"/>
          <w:szCs w:val="21"/>
        </w:rPr>
        <w:t xml:space="preserve">Évite de fonder une décision sur un lien qui n'existe pas.</w:t>
      </w:r>
    </w:p>
    <w:p>
      <w:pPr>
        <w:pStyle w:val="ListParagraph"/>
        <w:numPr>
          <w:ilvl w:val="0"/>
          <w:numId w:val="1"/>
        </w:numPr>
        <w:spacing w:after="100" w:line="290"/>
      </w:pPr>
      <w:r>
        <w:rPr>
          <w:rFonts w:ascii="Calibri" w:cs="Calibri" w:eastAsia="Calibri" w:hAnsi="Calibri"/>
          <w:b/>
          <w:bCs/>
          <w:color w:val="222222"/>
          <w:sz w:val="21"/>
          <w:szCs w:val="21"/>
        </w:rPr>
        <w:t xml:space="preserve">4 — Rendre le tout rejouable. </w:t>
      </w:r>
      <w:r>
        <w:rPr>
          <w:rFonts w:ascii="Calibri" w:cs="Calibri" w:eastAsia="Calibri" w:hAnsi="Calibri"/>
          <w:color w:val="222222"/>
          <w:sz w:val="21"/>
          <w:szCs w:val="21"/>
        </w:rPr>
        <w:t xml:space="preserve">Conditionne la réutilisation du travail, mais n'empêche pas de produire un résultat.</w:t>
      </w:r>
    </w:p>
    <w:p>
      <w:pPr>
        <w:pStyle w:val="ListParagraph"/>
        <w:numPr>
          <w:ilvl w:val="0"/>
          <w:numId w:val="1"/>
        </w:numPr>
        <w:spacing w:after="100" w:line="290"/>
      </w:pPr>
      <w:r>
        <w:rPr>
          <w:rFonts w:ascii="Calibri" w:cs="Calibri" w:eastAsia="Calibri" w:hAnsi="Calibri"/>
          <w:b/>
          <w:bCs/>
          <w:color w:val="222222"/>
          <w:sz w:val="21"/>
          <w:szCs w:val="21"/>
        </w:rPr>
        <w:t xml:space="preserve">5 — Former les équipes métier. </w:t>
      </w:r>
      <w:r>
        <w:rPr>
          <w:rFonts w:ascii="Calibri" w:cs="Calibri" w:eastAsia="Calibri" w:hAnsi="Calibri"/>
          <w:color w:val="222222"/>
          <w:sz w:val="21"/>
          <w:szCs w:val="21"/>
        </w:rPr>
        <w:t xml:space="preserve">Indispensable à l'adoption, mais ne peut venir qu'une fois le reste stabilisé.</w:t>
      </w:r>
    </w:p>
    <w:p>
      <w:pPr>
        <w:spacing w:before="120"/>
      </w:pPr>
    </w:p>
    <w:p>
      <w:pPr>
        <w:spacing w:after="160" w:line="300"/>
      </w:pPr>
      <w:r>
        <w:rPr>
          <w:rFonts w:ascii="Calibri" w:cs="Calibri" w:eastAsia="Calibri" w:hAnsi="Calibri"/>
          <w:b w:val="false"/>
          <w:bCs w:val="false"/>
          <w:i/>
          <w:iCs/>
          <w:color w:val="222222"/>
          <w:sz w:val="21"/>
          <w:szCs w:val="21"/>
        </w:rPr>
        <w:t xml:space="preserve">Jalons, livrables et planning : le découpage en six lots, les cinq jalons datés du 26 juin au 17 juillet, la liste des livrables et le registre des risques figurent dans le document PROJET_ORGANISATION.docx, sections 1 à 4.</w:t>
      </w:r>
    </w:p>
    <w:p>
      <w:pPr>
        <w:pStyle w:val="Heading1"/>
        <w:pBdr>
          <w:bottom w:val="single" w:color="1F7A8C" w:sz="6" w:space="6"/>
        </w:pBdr>
        <w:spacing w:after="200" w:before="420"/>
      </w:pPr>
      <w:r>
        <w:rPr>
          <w:rFonts w:ascii="Calibri" w:cs="Calibri" w:eastAsia="Calibri" w:hAnsi="Calibri"/>
          <w:b/>
          <w:bCs/>
          <w:color w:val="134652"/>
          <w:sz w:val="30"/>
          <w:szCs w:val="30"/>
        </w:rPr>
        <w:t xml:space="preserve">4. Contraintes du projet</w:t>
      </w:r>
    </w:p>
    <w:p>
      <w:pPr>
        <w:spacing w:after="160" w:line="300"/>
      </w:pPr>
      <w:r>
        <w:rPr>
          <w:rFonts w:ascii="Calibri" w:cs="Calibri" w:eastAsia="Calibri" w:hAnsi="Calibri"/>
          <w:b w:val="false"/>
          <w:bCs w:val="false"/>
          <w:i w:val="false"/>
          <w:iCs w:val="false"/>
          <w:color w:val="222222"/>
          <w:sz w:val="21"/>
          <w:szCs w:val="21"/>
        </w:rPr>
        <w:t xml:space="preserve">Les contraintes sont classées selon leur origine : ce qui relève du système d'information de l'entreprise (internes), ce qui s'impose de l'extérieur (externes), et ce qu'exige le livrable lui-même (fonctionnelles).</w:t>
      </w:r>
    </w:p>
    <w:p>
      <w:pPr>
        <w:keepNext/>
        <w:keepLines/>
        <w:spacing w:after="90" w:before="260"/>
        <w:jc w:val="center"/>
      </w:pPr>
      <w:r>
        <w:drawing>
          <wp:inline distT="0" distB="0" distL="0" distR="0">
            <wp:extent cx="4320007" cy="18925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0007" cy="1892574"/>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2 — Contraintes internes, externes et fonctionnelles.</w:t>
      </w:r>
    </w:p>
    <w:p>
      <w:pPr>
        <w:pStyle w:val="Heading2"/>
        <w:spacing w:after="140" w:before="300"/>
      </w:pPr>
      <w:r>
        <w:rPr>
          <w:rFonts w:ascii="Calibri" w:cs="Calibri" w:eastAsia="Calibri" w:hAnsi="Calibri"/>
          <w:b/>
          <w:bCs/>
          <w:color w:val="134652"/>
          <w:sz w:val="24"/>
          <w:szCs w:val="24"/>
        </w:rPr>
        <w:t xml:space="preserve">Contraintes internes</w:t>
      </w:r>
    </w:p>
    <w:p>
      <w:pPr>
        <w:pStyle w:val="ListParagraph"/>
        <w:numPr>
          <w:ilvl w:val="0"/>
          <w:numId w:val="1"/>
        </w:numPr>
        <w:spacing w:after="100" w:line="290"/>
      </w:pPr>
      <w:r>
        <w:rPr>
          <w:rFonts w:ascii="Calibri" w:cs="Calibri" w:eastAsia="Calibri" w:hAnsi="Calibri"/>
          <w:b/>
          <w:bCs/>
          <w:color w:val="222222"/>
          <w:sz w:val="21"/>
          <w:szCs w:val="21"/>
        </w:rPr>
        <w:t xml:space="preserve">ERP et site web non synchronisés : </w:t>
      </w:r>
      <w:r>
        <w:rPr>
          <w:rFonts w:ascii="Calibri" w:cs="Calibri" w:eastAsia="Calibri" w:hAnsi="Calibri"/>
          <w:color w:val="222222"/>
          <w:sz w:val="21"/>
          <w:szCs w:val="21"/>
        </w:rPr>
        <w:t xml:space="preserve">les deux référentiels vivent séparément, sans clé partagée fiable ; le rapprochement passe par une table de liaison elle-même imparfaite.</w:t>
      </w:r>
    </w:p>
    <w:p>
      <w:pPr>
        <w:pStyle w:val="ListParagraph"/>
        <w:numPr>
          <w:ilvl w:val="0"/>
          <w:numId w:val="1"/>
        </w:numPr>
        <w:spacing w:after="100" w:line="290"/>
      </w:pPr>
      <w:r>
        <w:rPr>
          <w:rFonts w:ascii="Calibri" w:cs="Calibri" w:eastAsia="Calibri" w:hAnsi="Calibri"/>
          <w:b/>
          <w:bCs/>
          <w:color w:val="222222"/>
          <w:sz w:val="21"/>
          <w:szCs w:val="21"/>
        </w:rPr>
        <w:t xml:space="preserve">13,45 % de lignes non appariées : </w:t>
      </w:r>
      <w:r>
        <w:rPr>
          <w:rFonts w:ascii="Calibri" w:cs="Calibri" w:eastAsia="Calibri" w:hAnsi="Calibri"/>
          <w:color w:val="222222"/>
          <w:sz w:val="21"/>
          <w:szCs w:val="21"/>
        </w:rPr>
        <w:t xml:space="preserve">111 lignes sur 825 restent sans correspondance. Toute analyse porte donc sur un sous-ensemble, pas sur le catalogue entier.</w:t>
      </w:r>
    </w:p>
    <w:p>
      <w:pPr>
        <w:pStyle w:val="ListParagraph"/>
        <w:numPr>
          <w:ilvl w:val="0"/>
          <w:numId w:val="1"/>
        </w:numPr>
        <w:spacing w:after="100" w:line="290"/>
      </w:pPr>
      <w:r>
        <w:rPr>
          <w:rFonts w:ascii="Calibri" w:cs="Calibri" w:eastAsia="Calibri" w:hAnsi="Calibri"/>
          <w:b/>
          <w:bCs/>
          <w:color w:val="222222"/>
          <w:sz w:val="21"/>
          <w:szCs w:val="21"/>
        </w:rPr>
        <w:t xml:space="preserve">Aucun dictionnaire de données partagé : </w:t>
      </w:r>
      <w:r>
        <w:rPr>
          <w:rFonts w:ascii="Calibri" w:cs="Calibri" w:eastAsia="Calibri" w:hAnsi="Calibri"/>
          <w:color w:val="222222"/>
          <w:sz w:val="21"/>
          <w:szCs w:val="21"/>
        </w:rPr>
        <w:t xml:space="preserve">les règles de saisie ne sont écrites nulle part, ce qui explique les prix négatifs et les SKU manquants.</w:t>
      </w:r>
    </w:p>
    <w:p>
      <w:pPr>
        <w:pStyle w:val="ListParagraph"/>
        <w:numPr>
          <w:ilvl w:val="0"/>
          <w:numId w:val="1"/>
        </w:numPr>
        <w:spacing w:after="100" w:line="290"/>
      </w:pPr>
      <w:r>
        <w:rPr>
          <w:rFonts w:ascii="Calibri" w:cs="Calibri" w:eastAsia="Calibri" w:hAnsi="Calibri"/>
          <w:b/>
          <w:bCs/>
          <w:color w:val="222222"/>
          <w:sz w:val="21"/>
          <w:szCs w:val="21"/>
        </w:rPr>
        <w:t xml:space="preserve">Compétences Python disponibles en interne : </w:t>
      </w:r>
      <w:r>
        <w:rPr>
          <w:rFonts w:ascii="Calibri" w:cs="Calibri" w:eastAsia="Calibri" w:hAnsi="Calibri"/>
          <w:color w:val="222222"/>
          <w:sz w:val="21"/>
          <w:szCs w:val="21"/>
        </w:rPr>
        <w:t xml:space="preserve">contrainte favorable — elle rend acceptable une solution en notebook plutôt qu'un outil packagé.</w:t>
      </w:r>
    </w:p>
    <w:p>
      <w:pPr>
        <w:pStyle w:val="Heading2"/>
        <w:spacing w:after="140" w:before="300"/>
      </w:pPr>
      <w:r>
        <w:rPr>
          <w:rFonts w:ascii="Calibri" w:cs="Calibri" w:eastAsia="Calibri" w:hAnsi="Calibri"/>
          <w:b/>
          <w:bCs/>
          <w:color w:val="134652"/>
          <w:sz w:val="24"/>
          <w:szCs w:val="24"/>
        </w:rPr>
        <w:t xml:space="preserve">Contraintes externes</w:t>
      </w:r>
    </w:p>
    <w:p>
      <w:pPr>
        <w:pStyle w:val="ListParagraph"/>
        <w:numPr>
          <w:ilvl w:val="0"/>
          <w:numId w:val="1"/>
        </w:numPr>
        <w:spacing w:after="100" w:line="290"/>
      </w:pPr>
      <w:r>
        <w:rPr>
          <w:rFonts w:ascii="Calibri" w:cs="Calibri" w:eastAsia="Calibri" w:hAnsi="Calibri"/>
          <w:b/>
          <w:bCs/>
          <w:color w:val="222222"/>
          <w:sz w:val="21"/>
          <w:szCs w:val="21"/>
        </w:rPr>
        <w:t xml:space="preserve">Dépendance aux versions des bibliothèques : </w:t>
      </w:r>
      <w:r>
        <w:rPr>
          <w:rFonts w:ascii="Calibri" w:cs="Calibri" w:eastAsia="Calibri" w:hAnsi="Calibri"/>
          <w:color w:val="222222"/>
          <w:sz w:val="21"/>
          <w:szCs w:val="21"/>
        </w:rPr>
        <w:t xml:space="preserve">scikit-learn et pandas évoluent vite ; un changement de comportement peut modifier les résultats. D'où le versionnage explicite de l'environnement et le random_state fixé.</w:t>
      </w:r>
    </w:p>
    <w:p>
      <w:pPr>
        <w:pStyle w:val="ListParagraph"/>
        <w:numPr>
          <w:ilvl w:val="0"/>
          <w:numId w:val="1"/>
        </w:numPr>
        <w:spacing w:after="100" w:line="290"/>
      </w:pPr>
      <w:r>
        <w:rPr>
          <w:rFonts w:ascii="Calibri" w:cs="Calibri" w:eastAsia="Calibri" w:hAnsi="Calibri"/>
          <w:b/>
          <w:bCs/>
          <w:color w:val="222222"/>
          <w:sz w:val="21"/>
          <w:szCs w:val="21"/>
        </w:rPr>
        <w:t xml:space="preserve">RGPD non applicable sur ce périmètre : </w:t>
      </w:r>
      <w:r>
        <w:rPr>
          <w:rFonts w:ascii="Calibri" w:cs="Calibri" w:eastAsia="Calibri" w:hAnsi="Calibri"/>
          <w:color w:val="222222"/>
          <w:sz w:val="21"/>
          <w:szCs w:val="21"/>
        </w:rPr>
        <w:t xml:space="preserve">aucune donnée à caractère personnel dans les trois fichiers. À réévaluer si des données client entrent un jour dans le périmètre.</w:t>
      </w:r>
    </w:p>
    <w:p>
      <w:pPr>
        <w:pStyle w:val="ListParagraph"/>
        <w:numPr>
          <w:ilvl w:val="0"/>
          <w:numId w:val="1"/>
        </w:numPr>
        <w:spacing w:after="100" w:line="290"/>
      </w:pPr>
      <w:r>
        <w:rPr>
          <w:rFonts w:ascii="Calibri" w:cs="Calibri" w:eastAsia="Calibri" w:hAnsi="Calibri"/>
          <w:b/>
          <w:bCs/>
          <w:color w:val="222222"/>
          <w:sz w:val="21"/>
          <w:szCs w:val="21"/>
        </w:rPr>
        <w:t xml:space="preserve">Données fournisseurs non accessibles : </w:t>
      </w:r>
      <w:r>
        <w:rPr>
          <w:rFonts w:ascii="Calibri" w:cs="Calibri" w:eastAsia="Calibri" w:hAnsi="Calibri"/>
          <w:color w:val="222222"/>
          <w:sz w:val="21"/>
          <w:szCs w:val="21"/>
        </w:rPr>
        <w:t xml:space="preserve">la valorisation se limite à quantité × prix d'achat, sans coût logistique ni conditions d'approvisionnement.</w:t>
      </w:r>
    </w:p>
    <w:p>
      <w:pPr>
        <w:pStyle w:val="Heading2"/>
        <w:spacing w:after="140" w:before="300"/>
      </w:pPr>
      <w:r>
        <w:rPr>
          <w:rFonts w:ascii="Calibri" w:cs="Calibri" w:eastAsia="Calibri" w:hAnsi="Calibri"/>
          <w:b/>
          <w:bCs/>
          <w:color w:val="134652"/>
          <w:sz w:val="24"/>
          <w:szCs w:val="24"/>
        </w:rPr>
        <w:t xml:space="preserve">Contraintes fonctionnelles</w:t>
      </w:r>
    </w:p>
    <w:p>
      <w:pPr>
        <w:pStyle w:val="ListParagraph"/>
        <w:numPr>
          <w:ilvl w:val="0"/>
          <w:numId w:val="1"/>
        </w:numPr>
        <w:spacing w:after="100" w:line="290"/>
      </w:pPr>
      <w:r>
        <w:rPr>
          <w:rFonts w:ascii="Calibri" w:cs="Calibri" w:eastAsia="Calibri" w:hAnsi="Calibri"/>
          <w:b/>
          <w:bCs/>
          <w:color w:val="222222"/>
          <w:sz w:val="21"/>
          <w:szCs w:val="21"/>
        </w:rPr>
        <w:t xml:space="preserve">Lisibilité par des non-techniciens : </w:t>
      </w:r>
      <w:r>
        <w:rPr>
          <w:rFonts w:ascii="Calibri" w:cs="Calibri" w:eastAsia="Calibri" w:hAnsi="Calibri"/>
          <w:color w:val="222222"/>
          <w:sz w:val="21"/>
          <w:szCs w:val="21"/>
        </w:rPr>
        <w:t xml:space="preserve">le livrable s'adresse au contrôle de gestion et à la supply chain ; chaque indicateur doit être explicable sans jargon statistique.</w:t>
      </w:r>
    </w:p>
    <w:p>
      <w:pPr>
        <w:pStyle w:val="ListParagraph"/>
        <w:numPr>
          <w:ilvl w:val="0"/>
          <w:numId w:val="1"/>
        </w:numPr>
        <w:spacing w:after="100" w:line="290"/>
      </w:pPr>
      <w:r>
        <w:rPr>
          <w:rFonts w:ascii="Calibri" w:cs="Calibri" w:eastAsia="Calibri" w:hAnsi="Calibri"/>
          <w:b/>
          <w:bCs/>
          <w:color w:val="222222"/>
          <w:sz w:val="21"/>
          <w:szCs w:val="21"/>
        </w:rPr>
        <w:t xml:space="preserve">Exécution complète en moins de 5 minutes : </w:t>
      </w:r>
      <w:r>
        <w:rPr>
          <w:rFonts w:ascii="Calibri" w:cs="Calibri" w:eastAsia="Calibri" w:hAnsi="Calibri"/>
          <w:color w:val="222222"/>
          <w:sz w:val="21"/>
          <w:szCs w:val="21"/>
        </w:rPr>
        <w:t xml:space="preserve">condition pour que le notebook soit relancé régulièrement plutôt qu'archivé.</w:t>
      </w:r>
    </w:p>
    <w:p>
      <w:pPr>
        <w:pStyle w:val="ListParagraph"/>
        <w:numPr>
          <w:ilvl w:val="0"/>
          <w:numId w:val="1"/>
        </w:numPr>
        <w:spacing w:after="100" w:line="290"/>
      </w:pPr>
      <w:r>
        <w:rPr>
          <w:rFonts w:ascii="Calibri" w:cs="Calibri" w:eastAsia="Calibri" w:hAnsi="Calibri"/>
          <w:b/>
          <w:bCs/>
          <w:color w:val="222222"/>
          <w:sz w:val="21"/>
          <w:szCs w:val="21"/>
        </w:rPr>
        <w:t xml:space="preserve">Reproductibilité sur un autre poste : </w:t>
      </w:r>
      <w:r>
        <w:rPr>
          <w:rFonts w:ascii="Calibri" w:cs="Calibri" w:eastAsia="Calibri" w:hAnsi="Calibri"/>
          <w:color w:val="222222"/>
          <w:sz w:val="21"/>
          <w:szCs w:val="21"/>
        </w:rPr>
        <w:t xml:space="preserve">chemins relatifs, environnement documenté, aucune dépendance à une machine particulière.</w:t>
      </w:r>
    </w:p>
    <w:p>
      <w:pPr>
        <w:pStyle w:val="ListParagraph"/>
        <w:numPr>
          <w:ilvl w:val="0"/>
          <w:numId w:val="1"/>
        </w:numPr>
        <w:spacing w:after="100" w:line="290"/>
      </w:pPr>
      <w:r>
        <w:rPr>
          <w:rFonts w:ascii="Calibri" w:cs="Calibri" w:eastAsia="Calibri" w:hAnsi="Calibri"/>
          <w:b/>
          <w:bCs/>
          <w:color w:val="222222"/>
          <w:sz w:val="21"/>
          <w:szCs w:val="21"/>
        </w:rPr>
        <w:t xml:space="preserve">Aucune décision automatisée : </w:t>
      </w:r>
      <w:r>
        <w:rPr>
          <w:rFonts w:ascii="Calibri" w:cs="Calibri" w:eastAsia="Calibri" w:hAnsi="Calibri"/>
          <w:color w:val="222222"/>
          <w:sz w:val="21"/>
          <w:szCs w:val="21"/>
        </w:rPr>
        <w:t xml:space="preserve">les anomalies détectées sont des pistes d'investigation, pas des ordres de déstockage. La validation humaine reste obligatoire.</w:t>
      </w:r>
    </w:p>
    <w:p>
      <w:pPr>
        <w:pStyle w:val="Heading1"/>
        <w:pBdr>
          <w:bottom w:val="single" w:color="1F7A8C" w:sz="6" w:space="6"/>
        </w:pBdr>
        <w:spacing w:after="200" w:before="420"/>
      </w:pPr>
      <w:r>
        <w:rPr>
          <w:rFonts w:ascii="Calibri" w:cs="Calibri" w:eastAsia="Calibri" w:hAnsi="Calibri"/>
          <w:b/>
          <w:bCs/>
          <w:color w:val="134652"/>
          <w:sz w:val="30"/>
          <w:szCs w:val="30"/>
        </w:rPr>
        <w:t xml:space="preserve">5. Volumétrie et repères chiffrés</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4200"/>
        <w:gridCol w:w="5420"/>
      </w:tblGrid>
      <w:tr>
        <w:trPr>
          <w:cantSplit/>
          <w:tblHeader/>
        </w:trPr>
        <w:tc>
          <w:tcPr>
            <w:tcW w:type="dxa" w:w="42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Constat</w:t>
            </w:r>
          </w:p>
        </w:tc>
        <w:tc>
          <w:tcPr>
            <w:tcW w:type="dxa" w:w="54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Valeur observée</w:t>
            </w:r>
          </w:p>
        </w:tc>
      </w:tr>
      <w:tr>
        <w:trPr>
          <w:cantSplit/>
        </w:trPr>
        <w:tc>
          <w:tcPr>
            <w:tcW w:type="dxa" w:w="4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Volumétrie catalogue ERP</w:t>
            </w:r>
          </w:p>
        </w:tc>
        <w:tc>
          <w:tcPr>
            <w:tcW w:type="dxa" w:w="54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825 références, 6 colonnes brutes</w:t>
            </w:r>
          </w:p>
        </w:tc>
      </w:tr>
      <w:tr>
        <w:trPr>
          <w:cantSplit/>
        </w:trPr>
        <w:tc>
          <w:tcPr>
            <w:tcW w:type="dxa" w:w="42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Volumétrie catalogue Web (après nettoyage)</w:t>
            </w:r>
          </w:p>
        </w:tc>
        <w:tc>
          <w:tcPr>
            <w:tcW w:type="dxa" w:w="54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714 références actives</w:t>
            </w:r>
          </w:p>
        </w:tc>
      </w:tr>
      <w:tr>
        <w:trPr>
          <w:cantSplit/>
        </w:trPr>
        <w:tc>
          <w:tcPr>
            <w:tcW w:type="dxa" w:w="4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Articles ERP sans correspondance id_web</w:t>
            </w:r>
          </w:p>
        </w:tc>
        <w:tc>
          <w:tcPr>
            <w:tcW w:type="dxa" w:w="54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91 articles</w:t>
            </w:r>
          </w:p>
        </w:tc>
      </w:tr>
      <w:tr>
        <w:trPr>
          <w:cantSplit/>
        </w:trPr>
        <w:tc>
          <w:tcPr>
            <w:tcW w:type="dxa" w:w="42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Lignes sans correspondance après jointure finale</w:t>
            </w:r>
          </w:p>
        </w:tc>
        <w:tc>
          <w:tcPr>
            <w:tcW w:type="dxa" w:w="54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111 lignes, soit 13,45 %</w:t>
            </w:r>
          </w:p>
        </w:tc>
      </w:tr>
      <w:tr>
        <w:trPr>
          <w:cantSplit/>
        </w:trPr>
        <w:tc>
          <w:tcPr>
            <w:tcW w:type="dxa" w:w="4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Articles outliers de prix (méthode IQR)</w:t>
            </w:r>
          </w:p>
        </w:tc>
        <w:tc>
          <w:tcPr>
            <w:tcW w:type="dxa" w:w="54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36 articles, soit 4,36 %</w:t>
            </w:r>
          </w:p>
        </w:tc>
      </w:tr>
      <w:tr>
        <w:trPr>
          <w:cantSplit/>
        </w:trPr>
        <w:tc>
          <w:tcPr>
            <w:tcW w:type="dxa" w:w="42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Taux de marge minimum observé</w:t>
            </w:r>
          </w:p>
        </w:tc>
        <w:tc>
          <w:tcPr>
            <w:tcW w:type="dxa" w:w="54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-84 % (au moins une référence vendue à perte)</w:t>
            </w:r>
          </w:p>
        </w:tc>
      </w:tr>
    </w:tbl>
    <w:p>
      <w:pPr>
        <w:keepNext/>
        <w:keepLines/>
        <w:spacing w:after="90" w:before="260"/>
        <w:jc w:val="center"/>
      </w:pPr>
      <w:r>
        <w:drawing>
          <wp:inline distT="0" distB="0" distL="0" distR="0">
            <wp:extent cx="4320007" cy="17691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0007" cy="1769146"/>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3 — Périmètre des données : trois sources, une jointure, et la part non appariée.</w:t>
      </w:r>
    </w:p>
    <w:p>
      <w:pPr>
        <w:spacing w:after="160" w:line="300"/>
      </w:pPr>
      <w:r>
        <w:rPr>
          <w:rFonts w:ascii="Calibri" w:cs="Calibri" w:eastAsia="Calibri" w:hAnsi="Calibri"/>
          <w:b w:val="false"/>
          <w:bCs w:val="false"/>
          <w:i/>
          <w:iCs/>
          <w:color w:val="222222"/>
          <w:sz w:val="21"/>
          <w:szCs w:val="21"/>
        </w:rPr>
        <w:t xml:space="preserve">Un taux de non-appariement de 13,45 % est significatif : toute décision basée sur df_final doit être lue en sachant qu'elle ne couvre pas ~1 article sur 8 du catalogue ERP d'origine — c'est une limite structurelle du jeu de données, pas un défaut du traitement.</w:t>
      </w:r>
    </w:p>
    <w:p>
      <w:pPr>
        <w:pStyle w:val="Heading1"/>
        <w:pBdr>
          <w:bottom w:val="single" w:color="1F7A8C" w:sz="6" w:space="6"/>
        </w:pBdr>
        <w:spacing w:after="200" w:before="420"/>
      </w:pPr>
      <w:r>
        <w:rPr>
          <w:rFonts w:ascii="Calibri" w:cs="Calibri" w:eastAsia="Calibri" w:hAnsi="Calibri"/>
          <w:b/>
          <w:bCs/>
          <w:color w:val="134652"/>
          <w:sz w:val="30"/>
          <w:szCs w:val="30"/>
        </w:rPr>
        <w:t xml:space="preserve">6. Ressources mobilisées</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400"/>
        <w:gridCol w:w="7220"/>
      </w:tblGrid>
      <w:tr>
        <w:trPr>
          <w:cantSplit/>
          <w:tblHeader/>
        </w:trPr>
        <w:tc>
          <w:tcPr>
            <w:tcW w:type="dxa" w:w="2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Nature</w:t>
            </w:r>
          </w:p>
        </w:tc>
        <w:tc>
          <w:tcPr>
            <w:tcW w:type="dxa" w:w="7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Ressource</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Humaines</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 data analyst, environ 11 h réparties sur 6 lots et 3 semaines ; sollicitation ponctuelle du contrôle de gestion pour arbitrer les anomalies</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Données</w:t>
            </w:r>
          </w:p>
        </w:tc>
        <w:tc>
          <w:tcPr>
            <w:tcW w:type="dxa" w:w="7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 fichiers sources, 825 références, aucune donnée à caractère personnel</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Techniques</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Python 3 avec pandas, scikit-learn, SciPy ; Jupyter ; Git ; poste standard, aucun coût d'infrastructure ni de licence</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Documentaires</w:t>
            </w:r>
          </w:p>
        </w:tc>
        <w:tc>
          <w:tcPr>
            <w:tcW w:type="dxa" w:w="7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Documentation officielle scikit-learn ; Liu, Ting &amp; Zhou (2008), IEEE ICDM ; Breunig et al. (2000), ACM SIGMOD</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Budget</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0 € — aucune licence, aucune infrastructure, aucun prestataire. Le poste de travail et les bibliothèques open source suffisent.</w:t>
            </w:r>
          </w:p>
        </w:tc>
      </w:tr>
    </w:tbl>
    <w:p>
      <w:pPr>
        <w:spacing w:before="140"/>
      </w:pPr>
    </w:p>
    <w:p>
      <w:pPr>
        <w:spacing w:after="160" w:line="300"/>
      </w:pPr>
      <w:r>
        <w:rPr>
          <w:rFonts w:ascii="Calibri" w:cs="Calibri" w:eastAsia="Calibri" w:hAnsi="Calibri"/>
          <w:b w:val="false"/>
          <w:bCs w:val="false"/>
          <w:i/>
          <w:iCs/>
          <w:color w:val="222222"/>
          <w:sz w:val="21"/>
          <w:szCs w:val="21"/>
        </w:rPr>
        <w:t xml:space="preserve">Le projet ne mobilise ni budget, ni infrastructure dédiée, ni prestataire : c'est un facteur déterminant de faisabilité, et la raison pour laquelle des méthodes coûteuses à régler ont été écartées en amont.</w:t>
      </w:r>
    </w:p>
    <w:p>
      <w:pPr>
        <w:pStyle w:val="Heading1"/>
        <w:pBdr>
          <w:bottom w:val="single" w:color="1F7A8C" w:sz="6" w:space="6"/>
        </w:pBdr>
        <w:spacing w:after="200" w:before="420"/>
      </w:pPr>
      <w:r>
        <w:rPr>
          <w:rFonts w:ascii="Calibri" w:cs="Calibri" w:eastAsia="Calibri" w:hAnsi="Calibri"/>
          <w:b/>
          <w:bCs/>
          <w:color w:val="134652"/>
          <w:sz w:val="30"/>
          <w:szCs w:val="30"/>
        </w:rPr>
        <w:t xml:space="preserve">7. Critères de réussite / KPI mesurables</w:t>
      </w:r>
    </w:p>
    <w:p>
      <w:pPr>
        <w:pStyle w:val="Heading2"/>
        <w:spacing w:after="140" w:before="300"/>
      </w:pPr>
      <w:r>
        <w:rPr>
          <w:rFonts w:ascii="Calibri" w:cs="Calibri" w:eastAsia="Calibri" w:hAnsi="Calibri"/>
          <w:b/>
          <w:bCs/>
          <w:color w:val="134652"/>
          <w:sz w:val="24"/>
          <w:szCs w:val="24"/>
        </w:rPr>
        <w:t xml:space="preserve">Côté data (qualité du pipeline)</w:t>
      </w:r>
    </w:p>
    <w:p>
      <w:pPr>
        <w:pStyle w:val="ListParagraph"/>
        <w:numPr>
          <w:ilvl w:val="0"/>
          <w:numId w:val="1"/>
        </w:numPr>
        <w:spacing w:after="100" w:line="290"/>
      </w:pPr>
      <w:r>
        <w:rPr>
          <w:rFonts w:ascii="Calibri" w:cs="Calibri" w:eastAsia="Calibri" w:hAnsi="Calibri"/>
          <w:color w:val="222222"/>
          <w:sz w:val="21"/>
          <w:szCs w:val="21"/>
        </w:rPr>
        <w:t xml:space="preserve">Taux de lignes non appariées après jointure toléré : ≤ 15 % (constat actuel : 13,45 %, conforme)</w:t>
      </w:r>
    </w:p>
    <w:p>
      <w:pPr>
        <w:pStyle w:val="ListParagraph"/>
        <w:numPr>
          <w:ilvl w:val="0"/>
          <w:numId w:val="1"/>
        </w:numPr>
        <w:spacing w:after="100" w:line="290"/>
      </w:pPr>
      <w:r>
        <w:rPr>
          <w:rFonts w:ascii="Calibri" w:cs="Calibri" w:eastAsia="Calibri" w:hAnsi="Calibri"/>
          <w:color w:val="222222"/>
          <w:sz w:val="21"/>
          <w:szCs w:val="21"/>
        </w:rPr>
        <w:t xml:space="preserve">Zéro prix négatif et zéro stock négatif résiduel après nettoyage</w:t>
      </w:r>
    </w:p>
    <w:p>
      <w:pPr>
        <w:pStyle w:val="ListParagraph"/>
        <w:numPr>
          <w:ilvl w:val="0"/>
          <w:numId w:val="1"/>
        </w:numPr>
        <w:spacing w:after="100" w:line="290"/>
      </w:pPr>
      <w:r>
        <w:rPr>
          <w:rFonts w:ascii="Calibri" w:cs="Calibri" w:eastAsia="Calibri" w:hAnsi="Calibri"/>
          <w:color w:val="222222"/>
          <w:sz w:val="21"/>
          <w:szCs w:val="21"/>
        </w:rPr>
        <w:t xml:space="preserve">Zéro doublon de sku après nettoyage de df_web_clean</w:t>
      </w:r>
    </w:p>
    <w:p>
      <w:pPr>
        <w:pStyle w:val="Heading2"/>
        <w:spacing w:after="140" w:before="300"/>
      </w:pPr>
      <w:r>
        <w:rPr>
          <w:rFonts w:ascii="Calibri" w:cs="Calibri" w:eastAsia="Calibri" w:hAnsi="Calibri"/>
          <w:b/>
          <w:bCs/>
          <w:color w:val="134652"/>
          <w:sz w:val="24"/>
          <w:szCs w:val="24"/>
        </w:rPr>
        <w:t xml:space="preserve">Côté modèle / insights</w:t>
      </w:r>
    </w:p>
    <w:p>
      <w:pPr>
        <w:pStyle w:val="ListParagraph"/>
        <w:numPr>
          <w:ilvl w:val="0"/>
          <w:numId w:val="1"/>
        </w:numPr>
        <w:spacing w:after="100" w:line="290"/>
      </w:pPr>
      <w:r>
        <w:rPr>
          <w:rFonts w:ascii="Calibri" w:cs="Calibri" w:eastAsia="Calibri" w:hAnsi="Calibri"/>
          <w:color w:val="222222"/>
          <w:sz w:val="21"/>
          <w:szCs w:val="21"/>
        </w:rPr>
        <w:t xml:space="preserve">Taux de recouvrement mesuré entre l'IQR (univarié) et deux méthodes multivariées (Isolation Forest, Local Outlier Factor)</w:t>
      </w:r>
    </w:p>
    <w:p>
      <w:pPr>
        <w:pStyle w:val="ListParagraph"/>
        <w:numPr>
          <w:ilvl w:val="0"/>
          <w:numId w:val="1"/>
        </w:numPr>
        <w:spacing w:after="100" w:line="290"/>
      </w:pPr>
      <w:r>
        <w:rPr>
          <w:rFonts w:ascii="Calibri" w:cs="Calibri" w:eastAsia="Calibri" w:hAnsi="Calibri"/>
          <w:color w:val="222222"/>
          <w:sz w:val="21"/>
          <w:szCs w:val="21"/>
        </w:rPr>
        <w:t xml:space="preserve">Chaque coefficient de corrélation accompagné d'une p-value ; seuil de significativité p &lt; 0,05</w:t>
      </w:r>
    </w:p>
    <w:p>
      <w:pPr>
        <w:pStyle w:val="Heading2"/>
        <w:spacing w:after="140" w:before="300"/>
      </w:pPr>
      <w:r>
        <w:rPr>
          <w:rFonts w:ascii="Calibri" w:cs="Calibri" w:eastAsia="Calibri" w:hAnsi="Calibri"/>
          <w:b/>
          <w:bCs/>
          <w:color w:val="134652"/>
          <w:sz w:val="24"/>
          <w:szCs w:val="24"/>
        </w:rPr>
        <w:t xml:space="preserve">Côté opérationnel</w:t>
      </w:r>
    </w:p>
    <w:p>
      <w:pPr>
        <w:pStyle w:val="ListParagraph"/>
        <w:numPr>
          <w:ilvl w:val="0"/>
          <w:numId w:val="1"/>
        </w:numPr>
        <w:spacing w:after="100" w:line="290"/>
      </w:pPr>
      <w:r>
        <w:rPr>
          <w:rFonts w:ascii="Calibri" w:cs="Calibri" w:eastAsia="Calibri" w:hAnsi="Calibri"/>
          <w:color w:val="222222"/>
          <w:sz w:val="21"/>
          <w:szCs w:val="21"/>
        </w:rPr>
        <w:t xml:space="preserve">Temps d'exécution complet du notebook (Run All) : cible &lt; 5 minutes sur poste standard</w:t>
      </w:r>
    </w:p>
    <w:p>
      <w:pPr>
        <w:pStyle w:val="ListParagraph"/>
        <w:numPr>
          <w:ilvl w:val="0"/>
          <w:numId w:val="1"/>
        </w:numPr>
        <w:spacing w:after="100" w:line="290"/>
      </w:pPr>
      <w:r>
        <w:rPr>
          <w:rFonts w:ascii="Calibri" w:cs="Calibri" w:eastAsia="Calibri" w:hAnsi="Calibri"/>
          <w:color w:val="222222"/>
          <w:sz w:val="21"/>
          <w:szCs w:val="21"/>
        </w:rPr>
        <w:t xml:space="preserve">Reproductibilité : chemins de fichiers relatifs, aucune dépendance à un environnement spécifique</w:t>
      </w:r>
    </w:p>
    <w:p>
      <w:pPr>
        <w:pStyle w:val="ListParagraph"/>
        <w:numPr>
          <w:ilvl w:val="0"/>
          <w:numId w:val="1"/>
        </w:numPr>
        <w:spacing w:after="100" w:line="290"/>
      </w:pPr>
      <w:r>
        <w:rPr>
          <w:rFonts w:ascii="Calibri" w:cs="Calibri" w:eastAsia="Calibri" w:hAnsi="Calibri"/>
          <w:color w:val="222222"/>
          <w:sz w:val="21"/>
          <w:szCs w:val="21"/>
        </w:rPr>
        <w:t xml:space="preserve">Paramètres aléatoires figés (random_state=42) pour des résultats identiques d'une exécution à l'autre</w:t>
      </w:r>
    </w:p>
    <w:p>
      <w:pPr>
        <w:pStyle w:val="Heading1"/>
        <w:pBdr>
          <w:bottom w:val="single" w:color="1F7A8C" w:sz="6" w:space="6"/>
        </w:pBdr>
        <w:spacing w:after="200" w:before="420"/>
      </w:pPr>
      <w:r>
        <w:rPr>
          <w:rFonts w:ascii="Calibri" w:cs="Calibri" w:eastAsia="Calibri" w:hAnsi="Calibri"/>
          <w:b/>
          <w:bCs/>
          <w:color w:val="134652"/>
          <w:sz w:val="30"/>
          <w:szCs w:val="30"/>
        </w:rPr>
        <w:t xml:space="preserve">8. Besoins en formation et plan d'accompagnement</w:t>
      </w:r>
    </w:p>
    <w:p>
      <w:pPr>
        <w:spacing w:after="160" w:line="300"/>
      </w:pPr>
      <w:r>
        <w:rPr>
          <w:rFonts w:ascii="Calibri" w:cs="Calibri" w:eastAsia="Calibri" w:hAnsi="Calibri"/>
          <w:b w:val="false"/>
          <w:bCs w:val="false"/>
          <w:i w:val="false"/>
          <w:iCs w:val="false"/>
          <w:color w:val="222222"/>
          <w:sz w:val="21"/>
          <w:szCs w:val="21"/>
        </w:rPr>
        <w:t xml:space="preserve">L'analyse ne vaut que si les équipes savent la lire et s'en servir. Les besoins ci-dessous sont identifiés public par public, à partir de ce que chacun doit décider avec le résultat.</w:t>
      </w:r>
    </w:p>
    <w:p>
      <w:pPr>
        <w:pStyle w:val="Heading2"/>
        <w:spacing w:after="140" w:before="300"/>
      </w:pPr>
      <w:r>
        <w:rPr>
          <w:rFonts w:ascii="Calibri" w:cs="Calibri" w:eastAsia="Calibri" w:hAnsi="Calibri"/>
          <w:b/>
          <w:bCs/>
          <w:color w:val="134652"/>
          <w:sz w:val="24"/>
          <w:szCs w:val="24"/>
        </w:rPr>
        <w:t xml:space="preserve">8.1 Publics et écarts à combler</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1900"/>
        <w:gridCol w:w="2600"/>
        <w:gridCol w:w="2600"/>
        <w:gridCol w:w="2520"/>
      </w:tblGrid>
      <w:tr>
        <w:trPr>
          <w:cantSplit/>
          <w:tblHeader/>
        </w:trPr>
        <w:tc>
          <w:tcPr>
            <w:tcW w:type="dxa" w:w="19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Public</w:t>
            </w:r>
          </w:p>
        </w:tc>
        <w:tc>
          <w:tcPr>
            <w:tcW w:type="dxa" w:w="26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Décision à prendre</w:t>
            </w:r>
          </w:p>
        </w:tc>
        <w:tc>
          <w:tcPr>
            <w:tcW w:type="dxa" w:w="26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Écart constaté</w:t>
            </w:r>
          </w:p>
        </w:tc>
        <w:tc>
          <w:tcPr>
            <w:tcW w:type="dxa" w:w="25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Objectif de formation</w:t>
            </w:r>
          </w:p>
        </w:tc>
      </w:tr>
      <w:tr>
        <w:trPr>
          <w:cantSplit/>
        </w:trPr>
        <w:tc>
          <w:tcPr>
            <w:tcW w:type="dxa" w:w="1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Contrôle de gestion</w:t>
            </w:r>
          </w:p>
        </w:tc>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Arbitrer les anomalies et le taux de marge avant toute action</w:t>
            </w:r>
          </w:p>
        </w:tc>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Ne distingue pas un prix hors norme d'une anomalie de gestion ; le taux de recouvrement entre méthodes n'a pas de sens immédiat</w:t>
            </w:r>
          </w:p>
        </w:tc>
        <w:tc>
          <w:tcPr>
            <w:tcW w:type="dxa" w:w="25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Savoir quoi auditer en priorité et quoi laisser de côté, sans avoir à comprendre l'algorithme</w:t>
            </w:r>
          </w:p>
        </w:tc>
      </w:tr>
      <w:tr>
        <w:trPr>
          <w:cantSplit/>
        </w:trPr>
        <w:tc>
          <w:tcPr>
            <w:tcW w:type="dxa" w:w="1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Supply chain / stocks</w:t>
            </w:r>
          </w:p>
        </w:tc>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Qualifier les anomalies stock / ventes remontées</w:t>
            </w:r>
          </w:p>
        </w:tc>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Lit couramment la rotation de stock, mais pas le croisement de trois variables</w:t>
            </w:r>
          </w:p>
        </w:tc>
        <w:tc>
          <w:tcPr>
            <w:tcW w:type="dxa" w:w="25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Savoir dire si un article signalé pose un vrai problème d'approvisionnement</w:t>
            </w:r>
          </w:p>
        </w:tc>
      </w:tr>
      <w:tr>
        <w:trPr>
          <w:cantSplit/>
        </w:trPr>
        <w:tc>
          <w:tcPr>
            <w:tcW w:type="dxa" w:w="1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Direction commerciale</w:t>
            </w:r>
          </w:p>
        </w:tc>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Prioriser les références, exploiter le CA et la règle des 80/20</w:t>
            </w:r>
          </w:p>
        </w:tc>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Écart faible sur les indicateurs, mais le périmètre réel est méconnu</w:t>
            </w:r>
          </w:p>
        </w:tc>
        <w:tc>
          <w:tcPr>
            <w:tcW w:type="dxa" w:w="25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Savoir que 13,45 % du catalogue est hors analyse, et ce que cela implique pour une décision</w:t>
            </w:r>
          </w:p>
        </w:tc>
      </w:tr>
      <w:tr>
        <w:trPr>
          <w:cantSplit/>
        </w:trPr>
        <w:tc>
          <w:tcPr>
            <w:tcW w:type="dxa" w:w="1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Direction des systèmes d'information</w:t>
            </w:r>
          </w:p>
        </w:tc>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Décider d'une correction du référentiel</w:t>
            </w:r>
          </w:p>
        </w:tc>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Reçoit le taux de non-appariement sans en connaître l'origine</w:t>
            </w:r>
          </w:p>
        </w:tc>
        <w:tc>
          <w:tcPr>
            <w:tcW w:type="dxa" w:w="25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Savoir d'où vient le défaut d'appariement pour arbitrer un chantier de fiabilisation</w:t>
            </w:r>
          </w:p>
        </w:tc>
      </w:tr>
    </w:tbl>
    <w:p>
      <w:pPr>
        <w:pStyle w:val="Heading2"/>
        <w:spacing w:after="140" w:before="300"/>
      </w:pPr>
      <w:r>
        <w:rPr>
          <w:rFonts w:ascii="Calibri" w:cs="Calibri" w:eastAsia="Calibri" w:hAnsi="Calibri"/>
          <w:b/>
          <w:bCs/>
          <w:color w:val="134652"/>
          <w:sz w:val="24"/>
          <w:szCs w:val="24"/>
        </w:rPr>
        <w:t xml:space="preserve">8.2 Vulgariser : ce que je dis, et comment</w:t>
      </w:r>
    </w:p>
    <w:p>
      <w:pPr>
        <w:spacing w:after="160" w:line="300"/>
      </w:pPr>
      <w:r>
        <w:rPr>
          <w:rFonts w:ascii="Calibri" w:cs="Calibri" w:eastAsia="Calibri" w:hAnsi="Calibri"/>
          <w:b w:val="false"/>
          <w:bCs w:val="false"/>
          <w:i w:val="false"/>
          <w:iCs w:val="false"/>
          <w:color w:val="222222"/>
          <w:sz w:val="21"/>
          <w:szCs w:val="21"/>
        </w:rPr>
        <w:t xml:space="preserve">Aucun terme technique n'est employé sans sa traduction, et chaque traduction s'appuie sur un exemple pris dans le catalogue. C'est le cœur du dispositif : sans cela, l'analyse reste la propriété de celui qui l'a produite.</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1700"/>
        <w:gridCol w:w="3600"/>
        <w:gridCol w:w="4320"/>
      </w:tblGrid>
      <w:tr>
        <w:trPr>
          <w:cantSplit/>
          <w:tblHeader/>
        </w:trPr>
        <w:tc>
          <w:tcPr>
            <w:tcW w:type="dxa" w:w="17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Terme</w:t>
            </w:r>
          </w:p>
        </w:tc>
        <w:tc>
          <w:tcPr>
            <w:tcW w:type="dxa" w:w="36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Ce que je dis à la place</w:t>
            </w:r>
          </w:p>
        </w:tc>
        <w:tc>
          <w:tcPr>
            <w:tcW w:type="dxa" w:w="43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L'exemple sur lequel je m'appuie</w:t>
            </w:r>
          </w:p>
        </w:tc>
      </w:tr>
      <w:tr>
        <w:trPr>
          <w:cantSplit/>
        </w:trPr>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Valeur aberrante</w:t>
            </w:r>
          </w:p>
        </w:tc>
        <w:tc>
          <w:tcPr>
            <w:tcW w:type="dxa" w:w="3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 article dont le prix sort tellement de l'ordinaire qu'il mérite un coup d'œil. Ce n'est pas forcément une erreur.</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 grand cru à 400 € dans un catalogue où la plupart des références sont à 15 €. Le prix est juste — c'est le produit qui est à part.</w:t>
            </w:r>
          </w:p>
        </w:tc>
      </w:tr>
      <w:tr>
        <w:trPr>
          <w:cantSplit/>
        </w:trPr>
        <w:tc>
          <w:tcPr>
            <w:tcW w:type="dxa" w:w="17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Univarié, multivarié</w:t>
            </w:r>
          </w:p>
        </w:tc>
        <w:tc>
          <w:tcPr>
            <w:tcW w:type="dxa" w:w="3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Regarder une seule information à la fois, ou plusieurs en même temps.</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 article à 30 €, c'est banal. Le même à 30 €, avec 400 unités en stock et 2 ventes dans l'année, ne l'est plus. Il faut les trois chiffres ensemble pour le voir.</w:t>
            </w:r>
          </w:p>
        </w:tc>
      </w:tr>
      <w:tr>
        <w:trPr>
          <w:cantSplit/>
        </w:trPr>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Taux de contamination</w:t>
            </w:r>
          </w:p>
        </w:tc>
        <w:tc>
          <w:tcPr>
            <w:tcW w:type="dxa" w:w="3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La proportion d'articles suspects qu'on annonce à l'outil avant qu'il cherche.</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On lui demande d'en trouver 4 sur 100, parce que c'est exactement ce que l'ancienne méthode trouvait. On ne lui laisse pas inventer le chiffre.</w:t>
            </w:r>
          </w:p>
        </w:tc>
      </w:tr>
      <w:tr>
        <w:trPr>
          <w:cantSplit/>
        </w:trPr>
        <w:tc>
          <w:tcPr>
            <w:tcW w:type="dxa" w:w="17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Indice de recouvrement</w:t>
            </w:r>
          </w:p>
        </w:tc>
        <w:tc>
          <w:tcPr>
            <w:tcW w:type="dxa" w:w="3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Sur tous les articles signalés par deux méthodes, la part que les deux désignent en même temps.</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Sur 100 articles signalés au total, 24 le sont par les deux méthodes. Les 76 autres ne sont vus que par l'une ou par l'autre.</w:t>
            </w:r>
          </w:p>
        </w:tc>
      </w:tr>
      <w:tr>
        <w:trPr>
          <w:cantSplit/>
        </w:trPr>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p-value</w:t>
            </w:r>
          </w:p>
        </w:tc>
        <w:tc>
          <w:tcPr>
            <w:tcW w:type="dxa" w:w="3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La probabilité que le lien observé soit dû au seul hasard de nos données.</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Entre le stock et le prix d'achat, un premier calcul donne une chance sur deux que ce soit le hasard : on ne construit rien dessus. Un second calcul donne moins d'une chance sur dix mille : là, on peut.</w:t>
            </w:r>
          </w:p>
        </w:tc>
      </w:tr>
      <w:tr>
        <w:trPr>
          <w:cantSplit/>
        </w:trPr>
        <w:tc>
          <w:tcPr>
            <w:tcW w:type="dxa" w:w="17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Graine aléatoire</w:t>
            </w:r>
          </w:p>
        </w:tc>
        <w:tc>
          <w:tcPr>
            <w:tcW w:type="dxa" w:w="3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 numéro qui fige le hasard, pour que deux calculs lancés le même jour donnent exactement le même résultat.</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Sans elle, deux personnes qui relancent l'analyse n'obtiennent pas la même liste d'articles — et plus personne ne sait laquelle croire.</w:t>
            </w:r>
          </w:p>
        </w:tc>
      </w:tr>
      <w:tr>
        <w:trPr>
          <w:cantSplit/>
        </w:trPr>
        <w:tc>
          <w:tcPr>
            <w:tcW w:type="dxa" w:w="17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Rotation de stock</w:t>
            </w:r>
          </w:p>
        </w:tc>
        <w:tc>
          <w:tcPr>
            <w:tcW w:type="dxa" w:w="3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Le nombre de mois de vente que le stock actuel représente au rythme actuel.</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Douze mois de stock sur une référence qui se vend toute l'année, c'est de l'argent immobilisé ; sur un champagne, c'est normal en septembre.</w:t>
            </w:r>
          </w:p>
        </w:tc>
      </w:tr>
    </w:tbl>
    <w:p>
      <w:pPr>
        <w:spacing w:before="120"/>
      </w:pPr>
    </w:p>
    <w:p>
      <w:pPr>
        <w:pStyle w:val="ListParagraph"/>
        <w:numPr>
          <w:ilvl w:val="0"/>
          <w:numId w:val="1"/>
        </w:numPr>
        <w:spacing w:after="100" w:line="290"/>
      </w:pPr>
      <w:r>
        <w:rPr>
          <w:rFonts w:ascii="Calibri" w:cs="Calibri" w:eastAsia="Calibri" w:hAnsi="Calibri"/>
          <w:b/>
          <w:bCs/>
          <w:color w:val="222222"/>
          <w:sz w:val="21"/>
          <w:szCs w:val="21"/>
        </w:rPr>
        <w:t xml:space="preserve">Aucune formule. </w:t>
      </w:r>
      <w:r>
        <w:rPr>
          <w:rFonts w:ascii="Calibri" w:cs="Calibri" w:eastAsia="Calibri" w:hAnsi="Calibri"/>
          <w:color w:val="222222"/>
          <w:sz w:val="21"/>
          <w:szCs w:val="21"/>
        </w:rPr>
        <w:t xml:space="preserve">Ni écrite, ni projetée. Ce qui ne peut pas se dire en une phrase ne sera pas dit.</w:t>
      </w:r>
    </w:p>
    <w:p>
      <w:pPr>
        <w:pStyle w:val="ListParagraph"/>
        <w:numPr>
          <w:ilvl w:val="0"/>
          <w:numId w:val="1"/>
        </w:numPr>
        <w:spacing w:after="100" w:line="290"/>
      </w:pPr>
      <w:r>
        <w:rPr>
          <w:rFonts w:ascii="Calibri" w:cs="Calibri" w:eastAsia="Calibri" w:hAnsi="Calibri"/>
          <w:b/>
          <w:bCs/>
          <w:color w:val="222222"/>
          <w:sz w:val="21"/>
          <w:szCs w:val="21"/>
        </w:rPr>
        <w:t xml:space="preserve">Un chiffre à la fois. </w:t>
      </w:r>
      <w:r>
        <w:rPr>
          <w:rFonts w:ascii="Calibri" w:cs="Calibri" w:eastAsia="Calibri" w:hAnsi="Calibri"/>
          <w:color w:val="222222"/>
          <w:sz w:val="21"/>
          <w:szCs w:val="21"/>
        </w:rPr>
        <w:t xml:space="preserve">Un écran ne porte jamais deux résultats concurrents : on regarde 41 anomalies, puis on passe à autre chose.</w:t>
      </w:r>
    </w:p>
    <w:p>
      <w:pPr>
        <w:pStyle w:val="ListParagraph"/>
        <w:numPr>
          <w:ilvl w:val="0"/>
          <w:numId w:val="1"/>
        </w:numPr>
        <w:spacing w:after="100" w:line="290"/>
      </w:pPr>
      <w:r>
        <w:rPr>
          <w:rFonts w:ascii="Calibri" w:cs="Calibri" w:eastAsia="Calibri" w:hAnsi="Calibri"/>
          <w:b/>
          <w:bCs/>
          <w:color w:val="222222"/>
          <w:sz w:val="21"/>
          <w:szCs w:val="21"/>
        </w:rPr>
        <w:t xml:space="preserve">Toujours la conséquence, jamais la méthode seule. </w:t>
      </w:r>
      <w:r>
        <w:rPr>
          <w:rFonts w:ascii="Calibri" w:cs="Calibri" w:eastAsia="Calibri" w:hAnsi="Calibri"/>
          <w:color w:val="222222"/>
          <w:sz w:val="21"/>
          <w:szCs w:val="21"/>
        </w:rPr>
        <w:t xml:space="preserve">« Isolation Forest a signalé 32 articles » ne dit rien à personne. « Voici 32 articles à faire vérifier, et voilà pourquoi » se comprend.</w:t>
      </w:r>
    </w:p>
    <w:p>
      <w:pPr>
        <w:pStyle w:val="Heading2"/>
        <w:spacing w:after="140" w:before="300"/>
      </w:pPr>
      <w:r>
        <w:rPr>
          <w:rFonts w:ascii="Calibri" w:cs="Calibri" w:eastAsia="Calibri" w:hAnsi="Calibri"/>
          <w:b/>
          <w:bCs/>
          <w:color w:val="134652"/>
          <w:sz w:val="24"/>
          <w:szCs w:val="24"/>
        </w:rPr>
        <w:t xml:space="preserve">8.3 Rendre cette vulgarisation accessible à tous</w:t>
      </w:r>
    </w:p>
    <w:p>
      <w:pPr>
        <w:spacing w:after="160" w:line="300"/>
      </w:pPr>
      <w:r>
        <w:rPr>
          <w:rFonts w:ascii="Calibri" w:cs="Calibri" w:eastAsia="Calibri" w:hAnsi="Calibri"/>
          <w:b w:val="false"/>
          <w:bCs w:val="false"/>
          <w:i w:val="false"/>
          <w:iCs w:val="false"/>
          <w:color w:val="222222"/>
          <w:sz w:val="21"/>
          <w:szCs w:val="21"/>
        </w:rPr>
        <w:t xml:space="preserve">Le principe d'accessibilité s'applique à la vulgarisation elle-même : elle ne vaut que si chacun peut la suivre. Six situations recensées en amont, avec l'adaptation qui y répond.</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400"/>
        <w:gridCol w:w="7220"/>
      </w:tblGrid>
      <w:tr>
        <w:trPr>
          <w:cantSplit/>
          <w:tblHeader/>
        </w:trPr>
        <w:tc>
          <w:tcPr>
            <w:tcW w:type="dxa" w:w="2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Situation</w:t>
            </w:r>
          </w:p>
        </w:tc>
        <w:tc>
          <w:tcPr>
            <w:tcW w:type="dxa" w:w="7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Adaptation retenue</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Déficience visuelle</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Support PDF balisé, alternative textuelle sur chaque figure, et à l'oral chaque chiffre énoncé au lieu d'être seulement montré du doigt.</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Daltonisme</w:t>
            </w:r>
          </w:p>
        </w:tc>
        <w:tc>
          <w:tcPr>
            <w:tcW w:type="dxa" w:w="7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Forme du point et étiquette en plus de la couleur. Un audit des figures actuelles du notebook montre qu'elles reposent sur la teinte seule : elles sont à reprendre avant l'atelier.</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Surdité, malentendance</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Sous-titrage en visioconférence et support écrit complet remis : aucune information n'existe uniquement à l'oral.</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Troubles dys, troubles de l'attention</w:t>
            </w:r>
          </w:p>
        </w:tc>
        <w:tc>
          <w:tcPr>
            <w:tcW w:type="dxa" w:w="7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Phrases courtes, une idée par écran, glossaire des sept termes du 8.2 remis avant la séance.</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Fatigabilité, temps partiel thérapeutique</w:t>
            </w:r>
          </w:p>
        </w:tc>
        <w:tc>
          <w:tcPr>
            <w:tcW w:type="dxa" w:w="7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Format plafonné à 45 minutes, aucun prérequis à préparer, enregistrement et support disponibles en asynchrone.</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Mobilité réduite</w:t>
            </w:r>
          </w:p>
        </w:tc>
        <w:tc>
          <w:tcPr>
            <w:tcW w:type="dxa" w:w="7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Visioconférence proposée systématiquement, à égalité avec le présentiel.</w:t>
            </w:r>
          </w:p>
        </w:tc>
      </w:tr>
    </w:tbl>
    <w:p>
      <w:pPr>
        <w:pStyle w:val="Heading2"/>
        <w:spacing w:after="140" w:before="300"/>
      </w:pPr>
      <w:r>
        <w:rPr>
          <w:rFonts w:ascii="Calibri" w:cs="Calibri" w:eastAsia="Calibri" w:hAnsi="Calibri"/>
          <w:b/>
          <w:bCs/>
          <w:color w:val="134652"/>
          <w:sz w:val="24"/>
          <w:szCs w:val="24"/>
        </w:rPr>
        <w:t xml:space="preserve">8.4 Dispositif</w:t>
      </w:r>
    </w:p>
    <w:p>
      <w:pPr>
        <w:spacing w:after="160" w:line="300"/>
      </w:pPr>
      <w:r>
        <w:rPr>
          <w:rFonts w:ascii="Calibri" w:cs="Calibri" w:eastAsia="Calibri" w:hAnsi="Calibri"/>
          <w:b/>
          <w:bCs/>
          <w:i w:val="false"/>
          <w:iCs w:val="false"/>
          <w:color w:val="222222"/>
          <w:sz w:val="21"/>
          <w:szCs w:val="21"/>
        </w:rPr>
        <w:t xml:space="preserve">Un atelier de 45 minutes, en présentiel ou en visioconférence, accompagné du support PDF.</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1100"/>
        <w:gridCol w:w="5300"/>
        <w:gridCol w:w="3220"/>
      </w:tblGrid>
      <w:tr>
        <w:trPr>
          <w:cantSplit/>
          <w:tblHeader/>
        </w:trPr>
        <w:tc>
          <w:tcPr>
            <w:tcW w:type="dxa" w:w="11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Durée</w:t>
            </w:r>
          </w:p>
        </w:tc>
        <w:tc>
          <w:tcPr>
            <w:tcW w:type="dxa" w:w="53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Contenu</w:t>
            </w:r>
          </w:p>
        </w:tc>
        <w:tc>
          <w:tcPr>
            <w:tcW w:type="dxa" w:w="3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Public visé en priorité</w:t>
            </w:r>
          </w:p>
        </w:tc>
      </w:tr>
      <w:tr>
        <w:trPr>
          <w:cantSplit/>
        </w:trPr>
        <w:tc>
          <w:tcPr>
            <w:tcW w:type="dxa" w:w="11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5 min</w:t>
            </w:r>
          </w:p>
        </w:tc>
        <w:tc>
          <w:tcPr>
            <w:tcW w:type="dxa" w:w="5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Rappel du périmètre : ce que couvrent les données, ce qu'elles ne couvrent pas</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Tous, direction commerciale en particulier</w:t>
            </w:r>
          </w:p>
        </w:tc>
      </w:tr>
      <w:tr>
        <w:trPr>
          <w:cantSplit/>
        </w:trPr>
        <w:tc>
          <w:tcPr>
            <w:tcW w:type="dxa" w:w="11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10 min</w:t>
            </w:r>
          </w:p>
        </w:tc>
        <w:tc>
          <w:tcPr>
            <w:tcW w:type="dxa" w:w="5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Lecture des indicateurs clés : CA, règle des 80/20, rotation, valorisation au prix d'achat</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Direction commerciale, supply chain</w:t>
            </w:r>
          </w:p>
        </w:tc>
      </w:tr>
      <w:tr>
        <w:trPr>
          <w:cantSplit/>
        </w:trPr>
        <w:tc>
          <w:tcPr>
            <w:tcW w:type="dxa" w:w="11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10 min</w:t>
            </w:r>
          </w:p>
        </w:tc>
        <w:tc>
          <w:tcPr>
            <w:tcW w:type="dxa" w:w="5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Différence entre un prix hors norme et une anomalie de gestion stock / ventes</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Contrôle de gestion, supply chain</w:t>
            </w:r>
          </w:p>
        </w:tc>
      </w:tr>
      <w:tr>
        <w:trPr>
          <w:cantSplit/>
        </w:trPr>
        <w:tc>
          <w:tcPr>
            <w:tcW w:type="dxa" w:w="11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10 min</w:t>
            </w:r>
          </w:p>
        </w:tc>
        <w:tc>
          <w:tcPr>
            <w:tcW w:type="dxa" w:w="5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Lire une corrélation : ce que le coefficient dit, ce que la p-value ajoute</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Contrôle de gestion</w:t>
            </w:r>
          </w:p>
        </w:tc>
      </w:tr>
      <w:tr>
        <w:trPr>
          <w:cantSplit/>
        </w:trPr>
        <w:tc>
          <w:tcPr>
            <w:tcW w:type="dxa" w:w="11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10 min</w:t>
            </w:r>
          </w:p>
        </w:tc>
        <w:tc>
          <w:tcPr>
            <w:tcW w:type="dxa" w:w="5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Questions et cas d'usage apportés par les participants</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Tous</w:t>
            </w:r>
          </w:p>
        </w:tc>
      </w:tr>
    </w:tbl>
    <w:p>
      <w:pPr>
        <w:pStyle w:val="Heading2"/>
        <w:spacing w:after="140" w:before="300"/>
      </w:pPr>
      <w:r>
        <w:rPr>
          <w:rFonts w:ascii="Calibri" w:cs="Calibri" w:eastAsia="Calibri" w:hAnsi="Calibri"/>
          <w:b/>
          <w:bCs/>
          <w:color w:val="134652"/>
          <w:sz w:val="24"/>
          <w:szCs w:val="24"/>
        </w:rPr>
        <w:t xml:space="preserve">8.5 Vérifier que la formation a produit son effet</w:t>
      </w:r>
    </w:p>
    <w:p>
      <w:pPr>
        <w:pStyle w:val="ListParagraph"/>
        <w:numPr>
          <w:ilvl w:val="0"/>
          <w:numId w:val="1"/>
        </w:numPr>
        <w:spacing w:after="100" w:line="290"/>
      </w:pPr>
      <w:r>
        <w:rPr>
          <w:rFonts w:ascii="Calibri" w:cs="Calibri" w:eastAsia="Calibri" w:hAnsi="Calibri"/>
          <w:b/>
          <w:bCs/>
          <w:color w:val="222222"/>
          <w:sz w:val="21"/>
          <w:szCs w:val="21"/>
        </w:rPr>
        <w:t xml:space="preserve">Test de sortie, trois questions : </w:t>
      </w:r>
      <w:r>
        <w:rPr>
          <w:rFonts w:ascii="Calibri" w:cs="Calibri" w:eastAsia="Calibri" w:hAnsi="Calibri"/>
          <w:color w:val="222222"/>
          <w:sz w:val="21"/>
          <w:szCs w:val="21"/>
        </w:rPr>
        <w:t xml:space="preserve">à partir de trois articles réels, dire lequel relève d'une erreur de saisie, lequel d'un problème de stock, et lequel est normal. Réussite attendue : deux sur trois sans aide.</w:t>
      </w:r>
    </w:p>
    <w:p>
      <w:pPr>
        <w:pStyle w:val="ListParagraph"/>
        <w:numPr>
          <w:ilvl w:val="0"/>
          <w:numId w:val="1"/>
        </w:numPr>
        <w:spacing w:after="100" w:line="290"/>
      </w:pPr>
      <w:r>
        <w:rPr>
          <w:rFonts w:ascii="Calibri" w:cs="Calibri" w:eastAsia="Calibri" w:hAnsi="Calibri"/>
          <w:b/>
          <w:bCs/>
          <w:color w:val="222222"/>
          <w:sz w:val="21"/>
          <w:szCs w:val="21"/>
        </w:rPr>
        <w:t xml:space="preserve">Indicateur à un mois : </w:t>
      </w:r>
      <w:r>
        <w:rPr>
          <w:rFonts w:ascii="Calibri" w:cs="Calibri" w:eastAsia="Calibri" w:hAnsi="Calibri"/>
          <w:color w:val="222222"/>
          <w:sz w:val="21"/>
          <w:szCs w:val="21"/>
        </w:rPr>
        <w:t xml:space="preserve">part des anomalies remontées qui ont été arbitrées par le contrôle de gestion plutôt que laissées en attente.</w:t>
      </w:r>
    </w:p>
    <w:p>
      <w:pPr>
        <w:pStyle w:val="ListParagraph"/>
        <w:numPr>
          <w:ilvl w:val="0"/>
          <w:numId w:val="1"/>
        </w:numPr>
        <w:spacing w:after="100" w:line="290"/>
      </w:pPr>
      <w:r>
        <w:rPr>
          <w:rFonts w:ascii="Calibri" w:cs="Calibri" w:eastAsia="Calibri" w:hAnsi="Calibri"/>
          <w:b/>
          <w:bCs/>
          <w:color w:val="222222"/>
          <w:sz w:val="21"/>
          <w:szCs w:val="21"/>
        </w:rPr>
        <w:t xml:space="preserve">Retour sur l'accessibilité : </w:t>
      </w:r>
      <w:r>
        <w:rPr>
          <w:rFonts w:ascii="Calibri" w:cs="Calibri" w:eastAsia="Calibri" w:hAnsi="Calibri"/>
          <w:color w:val="222222"/>
          <w:sz w:val="21"/>
          <w:szCs w:val="21"/>
        </w:rPr>
        <w:t xml:space="preserve">question posée en fin d'atelier sur ce qui a gêné le suivi, et correction du support avant la session suivante.</w:t>
      </w:r>
    </w:p>
    <w:p>
      <w:pPr>
        <w:spacing w:before="120"/>
      </w:pPr>
    </w:p>
    <w:p>
      <w:pPr>
        <w:spacing w:after="160" w:line="300"/>
      </w:pPr>
      <w:r>
        <w:rPr>
          <w:rFonts w:ascii="Calibri" w:cs="Calibri" w:eastAsia="Calibri" w:hAnsi="Calibri"/>
          <w:b w:val="false"/>
          <w:bCs w:val="false"/>
          <w:i/>
          <w:iCs/>
          <w:color w:val="222222"/>
          <w:sz w:val="21"/>
          <w:szCs w:val="21"/>
        </w:rPr>
        <w:t xml:space="preserve">Ce dispositif est spécifié, non encore déployé : l'atelier n'a pas été tenu et le support reste à produire selon les exigences ci-dessus.</w:t>
      </w:r>
    </w:p>
    <w:p>
      <w:pPr>
        <w:pStyle w:val="Heading1"/>
        <w:pBdr>
          <w:bottom w:val="single" w:color="1F7A8C" w:sz="6" w:space="6"/>
        </w:pBdr>
        <w:spacing w:after="200" w:before="420"/>
      </w:pPr>
      <w:r>
        <w:rPr>
          <w:rFonts w:ascii="Calibri" w:cs="Calibri" w:eastAsia="Calibri" w:hAnsi="Calibri"/>
          <w:b/>
          <w:bCs/>
          <w:color w:val="134652"/>
          <w:sz w:val="30"/>
          <w:szCs w:val="30"/>
        </w:rPr>
        <w:t xml:space="preserve">9. Critères d'acceptation</w:t>
      </w:r>
    </w:p>
    <w:p>
      <w:pPr>
        <w:pStyle w:val="ListParagraph"/>
        <w:numPr>
          <w:ilvl w:val="0"/>
          <w:numId w:val="1"/>
        </w:numPr>
        <w:spacing w:after="100" w:line="290"/>
      </w:pPr>
      <w:r>
        <w:rPr>
          <w:rFonts w:ascii="Calibri" w:cs="Calibri" w:eastAsia="Calibri" w:hAnsi="Calibri"/>
          <w:b/>
          <w:bCs/>
          <w:color w:val="222222"/>
          <w:sz w:val="21"/>
          <w:szCs w:val="21"/>
        </w:rPr>
        <w:t xml:space="preserve">1. </w:t>
      </w:r>
      <w:r>
        <w:rPr>
          <w:rFonts w:ascii="Calibri" w:cs="Calibri" w:eastAsia="Calibri" w:hAnsi="Calibri"/>
          <w:color w:val="222222"/>
          <w:sz w:val="21"/>
          <w:szCs w:val="21"/>
        </w:rPr>
        <w:t xml:space="preserve">Le notebook V2 s'exécute intégralement (Run All) sans erreur, du premier au dernier cellule</w:t>
      </w:r>
    </w:p>
    <w:p>
      <w:pPr>
        <w:pStyle w:val="ListParagraph"/>
        <w:numPr>
          <w:ilvl w:val="0"/>
          <w:numId w:val="1"/>
        </w:numPr>
        <w:spacing w:after="100" w:line="290"/>
      </w:pPr>
      <w:r>
        <w:rPr>
          <w:rFonts w:ascii="Calibri" w:cs="Calibri" w:eastAsia="Calibri" w:hAnsi="Calibri"/>
          <w:b/>
          <w:bCs/>
          <w:color w:val="222222"/>
          <w:sz w:val="21"/>
          <w:szCs w:val="21"/>
        </w:rPr>
        <w:t xml:space="preserve">2. </w:t>
      </w:r>
      <w:r>
        <w:rPr>
          <w:rFonts w:ascii="Calibri" w:cs="Calibri" w:eastAsia="Calibri" w:hAnsi="Calibri"/>
          <w:color w:val="222222"/>
          <w:sz w:val="21"/>
          <w:szCs w:val="21"/>
        </w:rPr>
        <w:t xml:space="preserve">Aucun chemin de fichier absolu ne subsiste dans le notebook V2 ; chargement par chemin relatif</w:t>
      </w:r>
    </w:p>
    <w:p>
      <w:pPr>
        <w:pStyle w:val="ListParagraph"/>
        <w:numPr>
          <w:ilvl w:val="0"/>
          <w:numId w:val="1"/>
        </w:numPr>
        <w:spacing w:after="100" w:line="290"/>
      </w:pPr>
      <w:r>
        <w:rPr>
          <w:rFonts w:ascii="Calibri" w:cs="Calibri" w:eastAsia="Calibri" w:hAnsi="Calibri"/>
          <w:b/>
          <w:bCs/>
          <w:color w:val="222222"/>
          <w:sz w:val="21"/>
          <w:szCs w:val="21"/>
        </w:rPr>
        <w:t xml:space="preserve">3. </w:t>
      </w:r>
      <w:r>
        <w:rPr>
          <w:rFonts w:ascii="Calibri" w:cs="Calibri" w:eastAsia="Calibri" w:hAnsi="Calibri"/>
          <w:color w:val="222222"/>
          <w:sz w:val="21"/>
          <w:szCs w:val="21"/>
        </w:rPr>
        <w:t xml:space="preserve">Le calcul de valorisation du stock utilise purchase_price et non price</w:t>
      </w:r>
    </w:p>
    <w:p>
      <w:pPr>
        <w:pStyle w:val="ListParagraph"/>
        <w:numPr>
          <w:ilvl w:val="0"/>
          <w:numId w:val="1"/>
        </w:numPr>
        <w:spacing w:after="100" w:line="290"/>
      </w:pPr>
      <w:r>
        <w:rPr>
          <w:rFonts w:ascii="Calibri" w:cs="Calibri" w:eastAsia="Calibri" w:hAnsi="Calibri"/>
          <w:b/>
          <w:bCs/>
          <w:color w:val="222222"/>
          <w:sz w:val="21"/>
          <w:szCs w:val="21"/>
        </w:rPr>
        <w:t xml:space="preserve">4. </w:t>
      </w:r>
      <w:r>
        <w:rPr>
          <w:rFonts w:ascii="Calibri" w:cs="Calibri" w:eastAsia="Calibri" w:hAnsi="Calibri"/>
          <w:color w:val="222222"/>
          <w:sz w:val="21"/>
          <w:szCs w:val="21"/>
        </w:rPr>
        <w:t xml:space="preserve">Toutes les sections et conclusions du notebook V1 sont conservées à l'identique dans le V2</w:t>
      </w:r>
    </w:p>
    <w:p>
      <w:pPr>
        <w:pStyle w:val="ListParagraph"/>
        <w:numPr>
          <w:ilvl w:val="0"/>
          <w:numId w:val="1"/>
        </w:numPr>
        <w:spacing w:after="100" w:line="290"/>
      </w:pPr>
      <w:r>
        <w:rPr>
          <w:rFonts w:ascii="Calibri" w:cs="Calibri" w:eastAsia="Calibri" w:hAnsi="Calibri"/>
          <w:b/>
          <w:bCs/>
          <w:color w:val="222222"/>
          <w:sz w:val="21"/>
          <w:szCs w:val="21"/>
        </w:rPr>
        <w:t xml:space="preserve">5. </w:t>
      </w:r>
      <w:r>
        <w:rPr>
          <w:rFonts w:ascii="Calibri" w:cs="Calibri" w:eastAsia="Calibri" w:hAnsi="Calibri"/>
          <w:color w:val="222222"/>
          <w:sz w:val="21"/>
          <w:szCs w:val="21"/>
        </w:rPr>
        <w:t xml:space="preserve">Deux méthodes de détection d'anomalies multivariée sont implémentées et comparées à l'IQR, avec taux de recouvrement chiffré pour chacune</w:t>
      </w:r>
    </w:p>
    <w:p>
      <w:pPr>
        <w:pStyle w:val="ListParagraph"/>
        <w:numPr>
          <w:ilvl w:val="0"/>
          <w:numId w:val="1"/>
        </w:numPr>
        <w:spacing w:after="100" w:line="290"/>
      </w:pPr>
      <w:r>
        <w:rPr>
          <w:rFonts w:ascii="Calibri" w:cs="Calibri" w:eastAsia="Calibri" w:hAnsi="Calibri"/>
          <w:b/>
          <w:bCs/>
          <w:color w:val="222222"/>
          <w:sz w:val="21"/>
          <w:szCs w:val="21"/>
        </w:rPr>
        <w:t xml:space="preserve">6. </w:t>
      </w:r>
      <w:r>
        <w:rPr>
          <w:rFonts w:ascii="Calibri" w:cs="Calibri" w:eastAsia="Calibri" w:hAnsi="Calibri"/>
          <w:color w:val="222222"/>
          <w:sz w:val="21"/>
          <w:szCs w:val="21"/>
        </w:rPr>
        <w:t xml:space="preserve">La section de significativité calcule Pearson et Spearman, avec p-value, pour chaque paire de la heatmap</w:t>
      </w:r>
    </w:p>
    <w:p>
      <w:pPr>
        <w:pStyle w:val="ListParagraph"/>
        <w:numPr>
          <w:ilvl w:val="0"/>
          <w:numId w:val="1"/>
        </w:numPr>
        <w:spacing w:after="100" w:line="290"/>
      </w:pPr>
      <w:r>
        <w:rPr>
          <w:rFonts w:ascii="Calibri" w:cs="Calibri" w:eastAsia="Calibri" w:hAnsi="Calibri"/>
          <w:b/>
          <w:bCs/>
          <w:color w:val="222222"/>
          <w:sz w:val="21"/>
          <w:szCs w:val="21"/>
        </w:rPr>
        <w:t xml:space="preserve">7. </w:t>
      </w:r>
      <w:r>
        <w:rPr>
          <w:rFonts w:ascii="Calibri" w:cs="Calibri" w:eastAsia="Calibri" w:hAnsi="Calibri"/>
          <w:color w:val="222222"/>
          <w:sz w:val="21"/>
          <w:szCs w:val="21"/>
        </w:rPr>
        <w:t xml:space="preserve">Les tableaux de recouvrement et de p-values sont lisibles sans exécuter le notebook</w:t>
      </w:r>
    </w:p>
    <w:p>
      <w:pPr>
        <w:pStyle w:val="ListParagraph"/>
        <w:numPr>
          <w:ilvl w:val="0"/>
          <w:numId w:val="1"/>
        </w:numPr>
        <w:spacing w:after="100" w:line="290"/>
      </w:pPr>
      <w:r>
        <w:rPr>
          <w:rFonts w:ascii="Calibri" w:cs="Calibri" w:eastAsia="Calibri" w:hAnsi="Calibri"/>
          <w:b/>
          <w:bCs/>
          <w:color w:val="222222"/>
          <w:sz w:val="21"/>
          <w:szCs w:val="21"/>
        </w:rPr>
        <w:t xml:space="preserve">8. </w:t>
      </w:r>
      <w:r>
        <w:rPr>
          <w:rFonts w:ascii="Calibri" w:cs="Calibri" w:eastAsia="Calibri" w:hAnsi="Calibri"/>
          <w:color w:val="222222"/>
          <w:sz w:val="21"/>
          <w:szCs w:val="21"/>
        </w:rPr>
        <w:t xml:space="preserve">Les 4 livrables sont présents à la racine du projet et cohérents entre eux</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3"/>
        <w:sz w:val="15"/>
        <w:szCs w:val="15"/>
      </w:rPr>
      <w:t xml:space="preserve">Kawtar Belkacemi · Data Analyst — OpenClassrooms · </w:t>
    </w:r>
    <w:r>
      <w:rPr>
        <w:rFonts w:ascii="Calibri" w:cs="Calibri" w:eastAsia="Calibri" w:hAnsi="Calibri"/>
        <w:color w:val="5B5F63"/>
        <w:sz w:val="15"/>
        <w:szCs w:val="15"/>
      </w:rPr>
      <w:t xml:space="preserve">Page </w:t>
    </w:r>
    <w:r>
      <w:rPr>
        <w:rFonts w:ascii="Calibri" w:cs="Calibri" w:eastAsia="Calibri" w:hAnsi="Calibri"/>
        <w:color w:val="5B5F63"/>
        <w:sz w:val="15"/>
        <w:szCs w:val="15"/>
      </w:rPr>
      <w:fldChar w:fldCharType="begin"/>
      <w:instrText xml:space="preserve">PAGE</w:instrText>
      <w:fldChar w:fldCharType="separate"/>
      <w:fldChar w:fldCharType="end"/>
    </w:r>
    <w:r>
      <w:rPr>
        <w:rFonts w:ascii="Calibri" w:cs="Calibri" w:eastAsia="Calibri" w:hAnsi="Calibri"/>
        <w:color w:val="5B5F63"/>
        <w:sz w:val="15"/>
        <w:szCs w:val="15"/>
      </w:rPr>
      <w:t xml:space="preserve"> / </w:t>
    </w:r>
    <w:r>
      <w:rPr>
        <w:rFonts w:ascii="Calibri" w:cs="Calibri" w:eastAsia="Calibri" w:hAnsi="Calibri"/>
        <w:color w:val="5B5F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B" w:sz="4" w:space="4"/>
      </w:pBdr>
      <w:tabs>
        <w:tab w:val="right" w:pos="9026"/>
      </w:tabs>
    </w:pPr>
    <w:r>
      <w:rPr>
        <w:rFonts w:ascii="Calibri" w:cs="Calibri" w:eastAsia="Calibri" w:hAnsi="Calibri"/>
        <w:color w:val="5B5F63"/>
        <w:sz w:val="15"/>
        <w:szCs w:val="15"/>
      </w:rPr>
      <w:t xml:space="preserve">BOTTLENECK — Mission 1 Partie 1</w:t>
    </w:r>
    <w:r>
      <w:rPr>
        <w:rFonts w:ascii="Calibri" w:cs="Calibri" w:eastAsia="Calibri" w:hAnsi="Calibri"/>
        <w:b/>
        <w:bCs/>
        <w:color w:val="1F7A8C"/>
        <w:sz w:val="15"/>
        <w:szCs w:val="15"/>
      </w:rPr>
      <w:t xml:space="preserve">	cahier_des_charges.docx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144ea624f0ffda1d41351a7db7d880259f8be3.png"/><Relationship Id="rId10" Type="http://schemas.openxmlformats.org/officeDocument/2006/relationships/image" Target="media/fa9314f7503a2c3c5b94cc740930f76540ce57a7.png"/><Relationship Id="rId11" Type="http://schemas.openxmlformats.org/officeDocument/2006/relationships/image" Target="media/0d39787989c7603ccb94678c7e093604c9333f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2026-08-08T13:12:50.479Z</dcterms:created>
  <dcterms:modified xsi:type="dcterms:W3CDTF">2026-08-08T13:12:50.484Z</dcterms:modified>
</cp:coreProperties>
</file>

<file path=docProps/custom.xml><?xml version="1.0" encoding="utf-8"?>
<Properties xmlns="http://schemas.openxmlformats.org/officeDocument/2006/custom-properties" xmlns:vt="http://schemas.openxmlformats.org/officeDocument/2006/docPropsVTypes"/>
</file>