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E8622C"/>
          <w:spacing w:val="20"/>
          <w:sz w:val="20"/>
          <w:szCs w:val="20"/>
        </w:rPr>
        <w:t xml:space="preserve">ÉTAPE 1</w:t>
      </w:r>
    </w:p>
    <w:p>
      <w:pPr>
        <w:spacing w:after="120"/>
      </w:pPr>
      <w:r>
        <w:rPr>
          <w:rFonts w:ascii="Calibri" w:cs="Calibri" w:eastAsia="Calibri" w:hAnsi="Calibri"/>
          <w:b/>
          <w:bCs/>
          <w:color w:val="134652"/>
          <w:sz w:val="52"/>
          <w:szCs w:val="52"/>
        </w:rPr>
        <w:t xml:space="preserve">Veille métier et technologique</w:t>
      </w:r>
    </w:p>
    <w:p>
      <w:pPr>
        <w:pBdr>
          <w:bottom w:val="single" w:color="1F7A8C" w:sz="12" w:space="12"/>
        </w:pBdr>
        <w:spacing w:after="260"/>
      </w:pPr>
      <w:r>
        <w:rPr>
          <w:rFonts w:ascii="Calibri" w:cs="Calibri" w:eastAsia="Calibri" w:hAnsi="Calibri"/>
          <w:i/>
          <w:iCs/>
          <w:color w:val="5B5F63"/>
          <w:sz w:val="24"/>
          <w:szCs w:val="24"/>
        </w:rPr>
        <w:t xml:space="preserve">Détection d'anomalies multivariées dans le catalogue Bottleneck</w:t>
      </w:r>
    </w:p>
    <w:p>
      <w:pPr>
        <w:spacing w:after="40"/>
      </w:pPr>
      <w:r>
        <w:rPr>
          <w:rFonts w:ascii="Calibri" w:cs="Calibri" w:eastAsia="Calibri" w:hAnsi="Calibri"/>
          <w:b/>
          <w:bCs/>
          <w:color w:val="134652"/>
          <w:sz w:val="18"/>
          <w:szCs w:val="18"/>
        </w:rPr>
        <w:t xml:space="preserve">BOTTLENECK</w:t>
      </w:r>
      <w:r>
        <w:rPr>
          <w:rFonts w:ascii="Calibri" w:cs="Calibri" w:eastAsia="Calibri" w:hAnsi="Calibri"/>
          <w:color w:val="5B5F63"/>
          <w:sz w:val="18"/>
          <w:szCs w:val="18"/>
        </w:rPr>
        <w:t xml:space="preserve">  ·  Mission 1 — Partie 1  ·  Amélioration critique du livrable Projet 6</w:t>
      </w:r>
    </w:p>
    <w:p>
      <w:pPr>
        <w:spacing w:after="480"/>
      </w:pPr>
      <w:r>
        <w:rPr>
          <w:rFonts w:ascii="Calibri" w:cs="Calibri" w:eastAsia="Calibri" w:hAnsi="Calibri"/>
          <w:color w:val="5B5F63"/>
          <w:sz w:val="18"/>
          <w:szCs w:val="18"/>
        </w:rPr>
        <w:t xml:space="preserve">Kawtar Belkacemi</w:t>
      </w:r>
      <w:r>
        <w:rPr>
          <w:rFonts w:ascii="Calibri" w:cs="Calibri" w:eastAsia="Calibri" w:hAnsi="Calibri"/>
          <w:color w:val="5B5F63"/>
          <w:sz w:val="18"/>
          <w:szCs w:val="18"/>
        </w:rPr>
        <w:t xml:space="preserve">   ·   Formation Data Analyst — OpenClassrooms   ·   Août 2026</w:t>
      </w:r>
    </w:p>
    <w:p>
      <w:pPr>
        <w:spacing w:after="130" w:before="60"/>
      </w:pPr>
      <w:r>
        <w:rPr>
          <w:rFonts w:ascii="Calibri" w:cs="Calibri" w:eastAsia="Calibri" w:hAnsi="Calibri"/>
          <w:b/>
          <w:bCs/>
          <w:color w:val="134652"/>
          <w:spacing w:val="25"/>
          <w:sz w:val="17"/>
          <w:szCs w:val="17"/>
        </w:rPr>
        <w:t xml:space="preserve">SOMMAIRE</w:t>
      </w:r>
    </w:p>
    <w:p>
      <w:pPr>
        <w:tabs>
          <w:tab w:val="right" w:pos="9200"/>
        </w:tabs>
        <w:spacing w:after="70"/>
      </w:pPr>
      <w:r>
        <w:rPr>
          <w:rFonts w:ascii="Consolas" w:cs="Consolas" w:eastAsia="Consolas" w:hAnsi="Consolas"/>
          <w:color w:val="E8622C"/>
          <w:sz w:val="17"/>
          <w:szCs w:val="17"/>
        </w:rPr>
        <w:t xml:space="preserve">01   </w:t>
      </w:r>
      <w:r>
        <w:rPr>
          <w:rFonts w:ascii="Calibri" w:cs="Calibri" w:eastAsia="Calibri" w:hAnsi="Calibri"/>
          <w:color w:val="222222"/>
          <w:sz w:val="19"/>
          <w:szCs w:val="19"/>
        </w:rPr>
        <w:t xml:space="preserve">Constat de départ (analyse critique du notebook V1)</w:t>
      </w:r>
    </w:p>
    <w:p>
      <w:pPr>
        <w:tabs>
          <w:tab w:val="right" w:pos="9200"/>
        </w:tabs>
        <w:spacing w:after="70"/>
      </w:pPr>
      <w:r>
        <w:rPr>
          <w:rFonts w:ascii="Consolas" w:cs="Consolas" w:eastAsia="Consolas" w:hAnsi="Consolas"/>
          <w:color w:val="E8622C"/>
          <w:sz w:val="17"/>
          <w:szCs w:val="17"/>
        </w:rPr>
        <w:t xml:space="preserve">02   </w:t>
      </w:r>
      <w:r>
        <w:rPr>
          <w:rFonts w:ascii="Calibri" w:cs="Calibri" w:eastAsia="Calibri" w:hAnsi="Calibri"/>
          <w:color w:val="222222"/>
          <w:sz w:val="19"/>
          <w:szCs w:val="19"/>
        </w:rPr>
        <w:t xml:space="preserve">Besoin de veille retenu</w:t>
      </w:r>
    </w:p>
    <w:p>
      <w:pPr>
        <w:tabs>
          <w:tab w:val="right" w:pos="9200"/>
        </w:tabs>
        <w:spacing w:after="70"/>
      </w:pPr>
      <w:r>
        <w:rPr>
          <w:rFonts w:ascii="Consolas" w:cs="Consolas" w:eastAsia="Consolas" w:hAnsi="Consolas"/>
          <w:color w:val="E8622C"/>
          <w:sz w:val="17"/>
          <w:szCs w:val="17"/>
        </w:rPr>
        <w:t xml:space="preserve">03   </w:t>
      </w:r>
      <w:r>
        <w:rPr>
          <w:rFonts w:ascii="Calibri" w:cs="Calibri" w:eastAsia="Calibri" w:hAnsi="Calibri"/>
          <w:color w:val="222222"/>
          <w:sz w:val="19"/>
          <w:szCs w:val="19"/>
        </w:rPr>
        <w:t xml:space="preserve">Solutions comparées — détection d'anomalies multivariée</w:t>
      </w:r>
    </w:p>
    <w:p>
      <w:pPr>
        <w:tabs>
          <w:tab w:val="right" w:pos="9200"/>
        </w:tabs>
        <w:spacing w:after="70"/>
      </w:pPr>
      <w:r>
        <w:rPr>
          <w:rFonts w:ascii="Consolas" w:cs="Consolas" w:eastAsia="Consolas" w:hAnsi="Consolas"/>
          <w:color w:val="E8622C"/>
          <w:sz w:val="17"/>
          <w:szCs w:val="17"/>
        </w:rPr>
        <w:t xml:space="preserve">04   </w:t>
      </w:r>
      <w:r>
        <w:rPr>
          <w:rFonts w:ascii="Calibri" w:cs="Calibri" w:eastAsia="Calibri" w:hAnsi="Calibri"/>
          <w:color w:val="222222"/>
          <w:sz w:val="19"/>
          <w:szCs w:val="19"/>
        </w:rPr>
        <w:t xml:space="preserve">Tableau de critères de comparaison</w:t>
      </w:r>
    </w:p>
    <w:p>
      <w:pPr>
        <w:tabs>
          <w:tab w:val="right" w:pos="9200"/>
        </w:tabs>
        <w:spacing w:after="70"/>
      </w:pPr>
      <w:r>
        <w:rPr>
          <w:rFonts w:ascii="Consolas" w:cs="Consolas" w:eastAsia="Consolas" w:hAnsi="Consolas"/>
          <w:color w:val="E8622C"/>
          <w:sz w:val="17"/>
          <w:szCs w:val="17"/>
        </w:rPr>
        <w:t xml:space="preserve">05   </w:t>
      </w:r>
      <w:r>
        <w:rPr>
          <w:rFonts w:ascii="Calibri" w:cs="Calibri" w:eastAsia="Calibri" w:hAnsi="Calibri"/>
          <w:color w:val="222222"/>
          <w:sz w:val="19"/>
          <w:szCs w:val="19"/>
        </w:rPr>
        <w:t xml:space="preserve">Besoin complémentaire — significativité statistique des corrélations</w:t>
      </w:r>
    </w:p>
    <w:p>
      <w:pPr>
        <w:tabs>
          <w:tab w:val="right" w:pos="9200"/>
        </w:tabs>
        <w:spacing w:after="70"/>
      </w:pPr>
      <w:r>
        <w:rPr>
          <w:rFonts w:ascii="Consolas" w:cs="Consolas" w:eastAsia="Consolas" w:hAnsi="Consolas"/>
          <w:color w:val="E8622C"/>
          <w:sz w:val="17"/>
          <w:szCs w:val="17"/>
        </w:rPr>
        <w:t xml:space="preserve">06   </w:t>
      </w:r>
      <w:r>
        <w:rPr>
          <w:rFonts w:ascii="Calibri" w:cs="Calibri" w:eastAsia="Calibri" w:hAnsi="Calibri"/>
          <w:color w:val="222222"/>
          <w:sz w:val="19"/>
          <w:szCs w:val="19"/>
        </w:rPr>
        <w:t xml:space="preserve">Décision finale argumentée (confirmée après implémentation réelle)</w:t>
      </w:r>
    </w:p>
    <w:p>
      <w:pPr>
        <w:tabs>
          <w:tab w:val="right" w:pos="9200"/>
        </w:tabs>
        <w:spacing w:after="70"/>
      </w:pPr>
      <w:r>
        <w:rPr>
          <w:rFonts w:ascii="Consolas" w:cs="Consolas" w:eastAsia="Consolas" w:hAnsi="Consolas"/>
          <w:color w:val="E8622C"/>
          <w:sz w:val="17"/>
          <w:szCs w:val="17"/>
        </w:rPr>
        <w:t xml:space="preserve">07   </w:t>
      </w:r>
      <w:r>
        <w:rPr>
          <w:rFonts w:ascii="Calibri" w:cs="Calibri" w:eastAsia="Calibri" w:hAnsi="Calibri"/>
          <w:color w:val="222222"/>
          <w:sz w:val="19"/>
          <w:szCs w:val="19"/>
        </w:rPr>
        <w:t xml:space="preserve">Dispositif de veille continue (sourcé et automatisé)</w:t>
      </w:r>
    </w:p>
    <w:p>
      <w:pPr>
        <w:pBdr>
          <w:bottom w:val="single" w:color="1F7A8C" w:sz="6" w:space="10"/>
        </w:pBdr>
        <w:spacing w:after="340"/>
      </w:pPr>
    </w:p>
    <w:p>
      <w:pPr>
        <w:pStyle w:val="Heading1"/>
        <w:pBdr>
          <w:bottom w:val="single" w:color="1F7A8C" w:sz="6" w:space="6"/>
        </w:pBdr>
        <w:spacing w:after="200" w:before="420"/>
      </w:pPr>
      <w:r>
        <w:rPr>
          <w:rFonts w:ascii="Calibri" w:cs="Calibri" w:eastAsia="Calibri" w:hAnsi="Calibri"/>
          <w:b/>
          <w:bCs/>
          <w:color w:val="134652"/>
          <w:sz w:val="30"/>
          <w:szCs w:val="30"/>
        </w:rPr>
        <w:t xml:space="preserve">1. Constat de départ (analyse critique du notebook V1)</w:t>
      </w:r>
    </w:p>
    <w:p>
      <w:pPr>
        <w:spacing w:after="160" w:line="300"/>
      </w:pPr>
      <w:r>
        <w:rPr>
          <w:rFonts w:ascii="Calibri" w:cs="Calibri" w:eastAsia="Calibri" w:hAnsi="Calibri"/>
          <w:b w:val="false"/>
          <w:bCs w:val="false"/>
          <w:i w:val="false"/>
          <w:iCs w:val="false"/>
          <w:color w:val="222222"/>
          <w:sz w:val="21"/>
          <w:szCs w:val="21"/>
        </w:rPr>
        <w:t xml:space="preserve">L'analyse du notebook original Belkacemi_Kawtar_1_notebook_052025.ipynb fait apparaître deux limites méthodologiques réelles, observées directement dans le code :</w:t>
      </w:r>
    </w:p>
    <w:p>
      <w:pPr>
        <w:pStyle w:val="ListParagraph"/>
        <w:numPr>
          <w:ilvl w:val="0"/>
          <w:numId w:val="1"/>
        </w:numPr>
        <w:spacing w:after="100" w:line="290"/>
      </w:pPr>
      <w:r>
        <w:rPr>
          <w:rFonts w:ascii="Calibri" w:cs="Calibri" w:eastAsia="Calibri" w:hAnsi="Calibri"/>
          <w:b/>
          <w:bCs/>
          <w:color w:val="222222"/>
          <w:sz w:val="21"/>
          <w:szCs w:val="21"/>
        </w:rPr>
        <w:t xml:space="preserve">Détection d'outliers strictement univariée sur le prix </w:t>
      </w:r>
      <w:r>
        <w:rPr>
          <w:rFonts w:ascii="Calibri" w:cs="Calibri" w:eastAsia="Calibri" w:hAnsi="Calibri"/>
          <w:color w:val="222222"/>
          <w:sz w:val="21"/>
          <w:szCs w:val="21"/>
        </w:rPr>
        <w:t xml:space="preserve">(Étape 4.2 du notebook, Z-score puis IQR). Les deux méthodes ne regardent qu'une seule variable (price) à la fois. Un article dont le prix est parfaitement dans la norme mais dont la combinaison stock / ventes est atypique est invisible à ces méthodes, alors qu'il s'agit précisément du type de signal qu'un gestionnaire de stock veut détecter.</w:t>
      </w:r>
    </w:p>
    <w:p>
      <w:pPr>
        <w:pStyle w:val="ListParagraph"/>
        <w:numPr>
          <w:ilvl w:val="0"/>
          <w:numId w:val="1"/>
        </w:numPr>
        <w:spacing w:after="100" w:line="290"/>
      </w:pPr>
      <w:r>
        <w:rPr>
          <w:rFonts w:ascii="Calibri" w:cs="Calibri" w:eastAsia="Calibri" w:hAnsi="Calibri"/>
          <w:b/>
          <w:bCs/>
          <w:color w:val="222222"/>
          <w:sz w:val="21"/>
          <w:szCs w:val="21"/>
        </w:rPr>
        <w:t xml:space="preserve">Corrélations lues uniquement de façon visuelle, sans test statistique </w:t>
      </w:r>
      <w:r>
        <w:rPr>
          <w:rFonts w:ascii="Calibri" w:cs="Calibri" w:eastAsia="Calibri" w:hAnsi="Calibri"/>
          <w:color w:val="222222"/>
          <w:sz w:val="21"/>
          <w:szCs w:val="21"/>
        </w:rPr>
        <w:t xml:space="preserve">(Étape 5.5, heatmap Seaborn). La heatmap affiche des coefficients de corrélation (Pearson, implicite via .corr()) mais aucune p-value n'accompagne ces coefficients.</w:t>
      </w:r>
    </w:p>
    <w:p>
      <w:pPr>
        <w:pStyle w:val="Heading1"/>
        <w:pBdr>
          <w:bottom w:val="single" w:color="1F7A8C" w:sz="6" w:space="6"/>
        </w:pBdr>
        <w:spacing w:after="200" w:before="420"/>
      </w:pPr>
      <w:r>
        <w:rPr>
          <w:rFonts w:ascii="Calibri" w:cs="Calibri" w:eastAsia="Calibri" w:hAnsi="Calibri"/>
          <w:b/>
          <w:bCs/>
          <w:color w:val="134652"/>
          <w:sz w:val="30"/>
          <w:szCs w:val="30"/>
        </w:rPr>
        <w:t xml:space="preserve">2. Besoin de veille retenu</w:t>
      </w:r>
    </w:p>
    <w:tbl>
      <w:tblPr>
        <w:tblW w:type="dxa" w:w="9648"/>
        <w:tblBorders>
          <w:top w:val="single" w:color="E8622C" w:sz="4"/>
          <w:left w:val="single" w:color="E8622C" w:sz="24"/>
          <w:bottom w:val="single" w:color="E8622C" w:sz="4"/>
          <w:right w:val="single" w:color="E8622C" w:sz="4"/>
          <w:insideH w:val="none" w:color="FFFFFF" w:sz="0"/>
          <w:insideV w:val="none" w:color="FFFFFF" w:sz="0"/>
        </w:tblBorders>
      </w:tblPr>
      <w:tblGrid>
        <w:gridCol w:w="9648"/>
      </w:tblGrid>
      <w:tr>
        <w:tc>
          <w:tcPr>
            <w:tcW w:type="dxa" w:w="9648"/>
            <w:shd w:fill="FBF3EF" w:color="auto" w:val="clear"/>
            <w:tcMar>
              <w:top w:type="dxa" w:w="160"/>
              <w:left w:type="dxa" w:w="220"/>
              <w:bottom w:type="dxa" w:w="160"/>
              <w:right w:type="dxa" w:w="220"/>
            </w:tcMar>
          </w:tcPr>
          <w:p>
            <w:pPr>
              <w:spacing w:after="40"/>
            </w:pPr>
            <w:r>
              <w:rPr>
                <w:rFonts w:ascii="Calibri" w:cs="Calibri" w:eastAsia="Calibri" w:hAnsi="Calibri"/>
                <w:b/>
                <w:bCs/>
                <w:color w:val="E8622C"/>
                <w:spacing w:val="15"/>
                <w:sz w:val="17"/>
                <w:szCs w:val="17"/>
              </w:rPr>
              <w:t xml:space="preserve">BESOIN DE VEILLE</w:t>
            </w:r>
          </w:p>
          <w:p>
            <w:r>
              <w:rPr>
                <w:rFonts w:ascii="Calibri" w:cs="Calibri" w:eastAsia="Calibri" w:hAnsi="Calibri"/>
                <w:i/>
                <w:iCs/>
                <w:color w:val="2B2B2B"/>
                <w:sz w:val="21"/>
                <w:szCs w:val="21"/>
              </w:rPr>
              <w:t xml:space="preserve">Comment détecter des anomalies multivariées dans un catalogue produit (prix, stock, ventes) de façon plus fiable qu'une simple analyse univariée du prix, avec un outillage Python accessible à un profil Data Analyst ?</w:t>
            </w:r>
          </w:p>
        </w:tc>
      </w:tr>
    </w:tbl>
    <w:p>
      <w:pPr>
        <w:spacing w:after="160" w:before="200"/>
      </w:pPr>
      <w:r>
        <w:rPr>
          <w:rFonts w:ascii="Calibri" w:cs="Calibri" w:eastAsia="Calibri" w:hAnsi="Calibri"/>
          <w:b w:val="false"/>
          <w:bCs w:val="false"/>
          <w:i w:val="false"/>
          <w:iCs w:val="false"/>
          <w:color w:val="222222"/>
          <w:sz w:val="21"/>
          <w:szCs w:val="21"/>
        </w:rPr>
        <w:t xml:space="preserve">Le besoin complémentaire — vérifier la significativité statistique des corrélations — est traité en section 5, sa résolution étant plus standard (test déjà normé en scipy.stats).</w:t>
      </w:r>
    </w:p>
    <w:p>
      <w:pPr>
        <w:pStyle w:val="Heading1"/>
        <w:pBdr>
          <w:bottom w:val="single" w:color="1F7A8C" w:sz="6" w:space="6"/>
        </w:pBdr>
        <w:spacing w:after="200" w:before="420"/>
      </w:pPr>
      <w:r>
        <w:rPr>
          <w:rFonts w:ascii="Calibri" w:cs="Calibri" w:eastAsia="Calibri" w:hAnsi="Calibri"/>
          <w:b/>
          <w:bCs/>
          <w:color w:val="134652"/>
          <w:sz w:val="30"/>
          <w:szCs w:val="30"/>
        </w:rPr>
        <w:t xml:space="preserve">3. Solutions comparées — détection d'anomalies multivariée</w:t>
      </w:r>
    </w:p>
    <w:p>
      <w:pPr>
        <w:pStyle w:val="Heading2"/>
        <w:spacing w:after="140" w:before="300"/>
      </w:pPr>
      <w:r>
        <w:rPr>
          <w:rFonts w:ascii="Calibri" w:cs="Calibri" w:eastAsia="Calibri" w:hAnsi="Calibri"/>
          <w:b/>
          <w:bCs/>
          <w:color w:val="134652"/>
          <w:sz w:val="24"/>
          <w:szCs w:val="24"/>
        </w:rPr>
        <w:t xml:space="preserve">Solution A — Isolation Forest (sklearn.ensemble.IsolationForest)</w:t>
      </w:r>
    </w:p>
    <w:p>
      <w:pPr>
        <w:pStyle w:val="ListParagraph"/>
        <w:numPr>
          <w:ilvl w:val="0"/>
          <w:numId w:val="1"/>
        </w:numPr>
        <w:spacing w:after="100" w:line="290"/>
      </w:pPr>
      <w:r>
        <w:rPr>
          <w:rFonts w:ascii="Calibri" w:cs="Calibri" w:eastAsia="Calibri" w:hAnsi="Calibri"/>
          <w:b/>
          <w:bCs/>
          <w:color w:val="222222"/>
          <w:sz w:val="21"/>
          <w:szCs w:val="21"/>
        </w:rPr>
        <w:t xml:space="preserve">Principe : </w:t>
      </w:r>
      <w:r>
        <w:rPr>
          <w:rFonts w:ascii="Calibri" w:cs="Calibri" w:eastAsia="Calibri" w:hAnsi="Calibri"/>
          <w:color w:val="222222"/>
          <w:sz w:val="21"/>
          <w:szCs w:val="21"/>
        </w:rPr>
        <w:t xml:space="preserve">construit une forêt d'arbres qui isolent aléatoirement les observations ; les points anormaux sont isolés avec moins de coupures que les points normaux.</w:t>
      </w:r>
    </w:p>
    <w:p>
      <w:pPr>
        <w:pStyle w:val="ListParagraph"/>
        <w:numPr>
          <w:ilvl w:val="0"/>
          <w:numId w:val="1"/>
        </w:numPr>
        <w:spacing w:after="100" w:line="290"/>
      </w:pPr>
      <w:r>
        <w:rPr>
          <w:rFonts w:ascii="Calibri" w:cs="Calibri" w:eastAsia="Calibri" w:hAnsi="Calibri"/>
          <w:b/>
          <w:bCs/>
          <w:color w:val="222222"/>
          <w:sz w:val="21"/>
          <w:szCs w:val="21"/>
        </w:rPr>
        <w:t xml:space="preserve">Cas d'usage : </w:t>
      </w:r>
      <w:r>
        <w:rPr>
          <w:rFonts w:ascii="Calibri" w:cs="Calibri" w:eastAsia="Calibri" w:hAnsi="Calibri"/>
          <w:color w:val="222222"/>
          <w:sz w:val="21"/>
          <w:szCs w:val="21"/>
        </w:rPr>
        <w:t xml:space="preserve">détection d'anomalies sur données tabulaires de dimension faible à moyenne (ici price, stock_quantity, total_sales), catalogues produits, détection de fraude.</w:t>
      </w:r>
    </w:p>
    <w:p>
      <w:pPr>
        <w:pStyle w:val="ListParagraph"/>
        <w:numPr>
          <w:ilvl w:val="0"/>
          <w:numId w:val="1"/>
        </w:numPr>
        <w:spacing w:after="100" w:line="290"/>
      </w:pPr>
      <w:r>
        <w:rPr>
          <w:rFonts w:ascii="Calibri" w:cs="Calibri" w:eastAsia="Calibri" w:hAnsi="Calibri"/>
          <w:b/>
          <w:bCs/>
          <w:color w:val="222222"/>
          <w:sz w:val="21"/>
          <w:szCs w:val="21"/>
        </w:rPr>
        <w:t xml:space="preserve">Avantages théoriques : </w:t>
      </w:r>
      <w:r>
        <w:rPr>
          <w:rFonts w:ascii="Calibri" w:cs="Calibri" w:eastAsia="Calibri" w:hAnsi="Calibri"/>
          <w:color w:val="222222"/>
          <w:sz w:val="21"/>
          <w:szCs w:val="21"/>
        </w:rPr>
        <w:t xml:space="preserve">complexité quasi-linéaire O(n log n) ; robuste aux variables non gaussiennes ; un seul hyperparamètre réellement sensible (contamination) ; implémentation mature dans scikit-learn.</w:t>
      </w:r>
    </w:p>
    <w:p>
      <w:pPr>
        <w:pStyle w:val="ListParagraph"/>
        <w:numPr>
          <w:ilvl w:val="0"/>
          <w:numId w:val="1"/>
        </w:numPr>
        <w:spacing w:after="100" w:line="290"/>
      </w:pPr>
      <w:r>
        <w:rPr>
          <w:rFonts w:ascii="Calibri" w:cs="Calibri" w:eastAsia="Calibri" w:hAnsi="Calibri"/>
          <w:b/>
          <w:bCs/>
          <w:color w:val="222222"/>
          <w:sz w:val="21"/>
          <w:szCs w:val="21"/>
        </w:rPr>
        <w:t xml:space="preserve">Limites : </w:t>
      </w:r>
      <w:r>
        <w:rPr>
          <w:rFonts w:ascii="Calibri" w:cs="Calibri" w:eastAsia="Calibri" w:hAnsi="Calibri"/>
          <w:color w:val="222222"/>
          <w:sz w:val="21"/>
          <w:szCs w:val="21"/>
        </w:rPr>
        <w:t xml:space="preserve">le paramètre contamination doit être choisi ou estimé ; moins interprétable qu'un simple seuil ; résultat non déterministe sauf si random_state est fixé.</w:t>
      </w:r>
    </w:p>
    <w:p>
      <w:pPr>
        <w:pStyle w:val="ListParagraph"/>
        <w:numPr>
          <w:ilvl w:val="0"/>
          <w:numId w:val="1"/>
        </w:numPr>
        <w:spacing w:after="100" w:line="290"/>
      </w:pPr>
      <w:r>
        <w:rPr>
          <w:rFonts w:ascii="Calibri" w:cs="Calibri" w:eastAsia="Calibri" w:hAnsi="Calibri"/>
          <w:b/>
          <w:bCs/>
          <w:color w:val="222222"/>
          <w:sz w:val="21"/>
          <w:szCs w:val="21"/>
        </w:rPr>
        <w:t xml:space="preserve">Prérequis : </w:t>
      </w:r>
      <w:r>
        <w:rPr>
          <w:rFonts w:ascii="Calibri" w:cs="Calibri" w:eastAsia="Calibri" w:hAnsi="Calibri"/>
          <w:color w:val="222222"/>
          <w:sz w:val="21"/>
          <w:szCs w:val="21"/>
        </w:rPr>
        <w:t xml:space="preserve">standardisation des variables (StandardScaler) recommandée quand les échelles diffèrent fortement.</w:t>
      </w:r>
    </w:p>
    <w:p>
      <w:pPr>
        <w:pStyle w:val="ListParagraph"/>
        <w:numPr>
          <w:ilvl w:val="0"/>
          <w:numId w:val="1"/>
        </w:numPr>
        <w:spacing w:after="100" w:line="290"/>
      </w:pPr>
      <w:r>
        <w:rPr>
          <w:rFonts w:ascii="Calibri" w:cs="Calibri" w:eastAsia="Calibri" w:hAnsi="Calibri"/>
          <w:b/>
          <w:bCs/>
          <w:color w:val="222222"/>
          <w:sz w:val="21"/>
          <w:szCs w:val="21"/>
        </w:rPr>
        <w:t xml:space="preserve">Sources : </w:t>
      </w:r>
      <w:r>
        <w:rPr>
          <w:rFonts w:ascii="Calibri" w:cs="Calibri" w:eastAsia="Calibri" w:hAnsi="Calibri"/>
          <w:color w:val="222222"/>
          <w:sz w:val="21"/>
          <w:szCs w:val="21"/>
        </w:rPr>
        <w:t xml:space="preserve">scikit-learn, IsolationForest — scikit-learn.org/stable/modules/generated/sklearn.ensemble.IsolationForest.html, et Outlier detection — scikit-learn.org/stable/modules/outlier_detection.html (consultées en juillet 2026). Liu F. T., Ting K. M. &amp; Zhou Z.-H. (2008), Isolation Forest, IEEE ICDM, p. 413-422, DOI 10.1109/ICDM.2008.17.</w:t>
      </w:r>
    </w:p>
    <w:p>
      <w:pPr>
        <w:pStyle w:val="Heading2"/>
        <w:spacing w:after="140" w:before="300"/>
      </w:pPr>
      <w:r>
        <w:rPr>
          <w:rFonts w:ascii="Calibri" w:cs="Calibri" w:eastAsia="Calibri" w:hAnsi="Calibri"/>
          <w:b/>
          <w:bCs/>
          <w:color w:val="134652"/>
          <w:sz w:val="24"/>
          <w:szCs w:val="24"/>
        </w:rPr>
        <w:t xml:space="preserve">Solution B — Local Outlier Factor (sklearn.neighbors.LocalOutlierFactor)</w:t>
      </w:r>
    </w:p>
    <w:p>
      <w:pPr>
        <w:pStyle w:val="ListParagraph"/>
        <w:numPr>
          <w:ilvl w:val="0"/>
          <w:numId w:val="1"/>
        </w:numPr>
        <w:spacing w:after="100" w:line="290"/>
      </w:pPr>
      <w:r>
        <w:rPr>
          <w:rFonts w:ascii="Calibri" w:cs="Calibri" w:eastAsia="Calibri" w:hAnsi="Calibri"/>
          <w:b/>
          <w:bCs/>
          <w:color w:val="222222"/>
          <w:sz w:val="21"/>
          <w:szCs w:val="21"/>
        </w:rPr>
        <w:t xml:space="preserve">Principe : </w:t>
      </w:r>
      <w:r>
        <w:rPr>
          <w:rFonts w:ascii="Calibri" w:cs="Calibri" w:eastAsia="Calibri" w:hAnsi="Calibri"/>
          <w:color w:val="222222"/>
          <w:sz w:val="21"/>
          <w:szCs w:val="21"/>
        </w:rPr>
        <w:t xml:space="preserve">compare la densité locale d'un point à celle de ses voisins ; un point dans une zone nettement moins dense est considéré anormal.</w:t>
      </w:r>
    </w:p>
    <w:p>
      <w:pPr>
        <w:pStyle w:val="ListParagraph"/>
        <w:numPr>
          <w:ilvl w:val="0"/>
          <w:numId w:val="1"/>
        </w:numPr>
        <w:spacing w:after="100" w:line="290"/>
      </w:pPr>
      <w:r>
        <w:rPr>
          <w:rFonts w:ascii="Calibri" w:cs="Calibri" w:eastAsia="Calibri" w:hAnsi="Calibri"/>
          <w:b/>
          <w:bCs/>
          <w:color w:val="222222"/>
          <w:sz w:val="21"/>
          <w:szCs w:val="21"/>
        </w:rPr>
        <w:t xml:space="preserve">Cas d'usage : </w:t>
      </w:r>
      <w:r>
        <w:rPr>
          <w:rFonts w:ascii="Calibri" w:cs="Calibri" w:eastAsia="Calibri" w:hAnsi="Calibri"/>
          <w:color w:val="222222"/>
          <w:sz w:val="21"/>
          <w:szCs w:val="21"/>
        </w:rPr>
        <w:t xml:space="preserve">anomalies locales dans des jeux à densité hétérogène (vins courants vs Grands Crus).</w:t>
      </w:r>
    </w:p>
    <w:p>
      <w:pPr>
        <w:pStyle w:val="ListParagraph"/>
        <w:numPr>
          <w:ilvl w:val="0"/>
          <w:numId w:val="1"/>
        </w:numPr>
        <w:spacing w:after="100" w:line="290"/>
      </w:pPr>
      <w:r>
        <w:rPr>
          <w:rFonts w:ascii="Calibri" w:cs="Calibri" w:eastAsia="Calibri" w:hAnsi="Calibri"/>
          <w:b/>
          <w:bCs/>
          <w:color w:val="222222"/>
          <w:sz w:val="21"/>
          <w:szCs w:val="21"/>
        </w:rPr>
        <w:t xml:space="preserve">Avantages théoriques : </w:t>
      </w:r>
      <w:r>
        <w:rPr>
          <w:rFonts w:ascii="Calibri" w:cs="Calibri" w:eastAsia="Calibri" w:hAnsi="Calibri"/>
          <w:color w:val="222222"/>
          <w:sz w:val="21"/>
          <w:szCs w:val="21"/>
        </w:rPr>
        <w:t xml:space="preserve">détecte des anomalies contextuelles qu'Isolation Forest peut manquer ; pas d'hypothèse de linéarité.</w:t>
      </w:r>
    </w:p>
    <w:p>
      <w:pPr>
        <w:pStyle w:val="ListParagraph"/>
        <w:numPr>
          <w:ilvl w:val="0"/>
          <w:numId w:val="1"/>
        </w:numPr>
        <w:spacing w:after="100" w:line="290"/>
      </w:pPr>
      <w:r>
        <w:rPr>
          <w:rFonts w:ascii="Calibri" w:cs="Calibri" w:eastAsia="Calibri" w:hAnsi="Calibri"/>
          <w:b/>
          <w:bCs/>
          <w:color w:val="222222"/>
          <w:sz w:val="21"/>
          <w:szCs w:val="21"/>
        </w:rPr>
        <w:t xml:space="preserve">Limites théoriques : </w:t>
      </w:r>
      <w:r>
        <w:rPr>
          <w:rFonts w:ascii="Calibri" w:cs="Calibri" w:eastAsia="Calibri" w:hAnsi="Calibri"/>
          <w:color w:val="222222"/>
          <w:sz w:val="21"/>
          <w:szCs w:val="21"/>
        </w:rPr>
        <w:t xml:space="preserve">sensible au choix de n_neighbors ; complexité O(n²) en implémentation naïve, en théorie plus coûteuse qu'Isolation Forest ; résultats plus difficiles à expliquer à un public non technique.</w:t>
      </w:r>
    </w:p>
    <w:p>
      <w:pPr>
        <w:pStyle w:val="ListParagraph"/>
        <w:numPr>
          <w:ilvl w:val="0"/>
          <w:numId w:val="1"/>
        </w:numPr>
        <w:spacing w:after="100" w:line="290"/>
      </w:pPr>
      <w:r>
        <w:rPr>
          <w:rFonts w:ascii="Calibri" w:cs="Calibri" w:eastAsia="Calibri" w:hAnsi="Calibri"/>
          <w:b/>
          <w:bCs/>
          <w:color w:val="222222"/>
          <w:sz w:val="21"/>
          <w:szCs w:val="21"/>
        </w:rPr>
        <w:t xml:space="preserve">Prérequis : </w:t>
      </w:r>
      <w:r>
        <w:rPr>
          <w:rFonts w:ascii="Calibri" w:cs="Calibri" w:eastAsia="Calibri" w:hAnsi="Calibri"/>
          <w:color w:val="222222"/>
          <w:sz w:val="21"/>
          <w:szCs w:val="21"/>
        </w:rPr>
        <w:t xml:space="preserve">mêmes prérequis de standardisation que la Solution A.</w:t>
      </w:r>
    </w:p>
    <w:p>
      <w:pPr>
        <w:pStyle w:val="ListParagraph"/>
        <w:numPr>
          <w:ilvl w:val="0"/>
          <w:numId w:val="1"/>
        </w:numPr>
        <w:spacing w:after="100" w:line="290"/>
      </w:pPr>
      <w:r>
        <w:rPr>
          <w:rFonts w:ascii="Calibri" w:cs="Calibri" w:eastAsia="Calibri" w:hAnsi="Calibri"/>
          <w:b/>
          <w:bCs/>
          <w:color w:val="222222"/>
          <w:sz w:val="21"/>
          <w:szCs w:val="21"/>
        </w:rPr>
        <w:t xml:space="preserve">Sources : </w:t>
      </w:r>
      <w:r>
        <w:rPr>
          <w:rFonts w:ascii="Calibri" w:cs="Calibri" w:eastAsia="Calibri" w:hAnsi="Calibri"/>
          <w:color w:val="222222"/>
          <w:sz w:val="21"/>
          <w:szCs w:val="21"/>
        </w:rPr>
        <w:t xml:space="preserve">scikit-learn, LocalOutlierFactor — scikit-learn.org/stable/modules/generated/sklearn.neighbors.LocalOutlierFactor.html (consultée en juillet 2026). Breunig M. M., Kriegel H.-P., Ng R. T. &amp; Sander J. (2000), LOF: Identifying Density-Based Local Outliers, ACM SIGMOD Record 29(2), p. 93-104, DOI 10.1145/335191.335388.</w:t>
      </w:r>
    </w:p>
    <w:p>
      <w:pPr>
        <w:pStyle w:val="Heading2"/>
        <w:spacing w:after="140" w:before="300"/>
      </w:pPr>
      <w:r>
        <w:rPr>
          <w:rFonts w:ascii="Calibri" w:cs="Calibri" w:eastAsia="Calibri" w:hAnsi="Calibri"/>
          <w:b/>
          <w:bCs/>
          <w:color w:val="134652"/>
          <w:sz w:val="24"/>
          <w:szCs w:val="24"/>
        </w:rPr>
        <w:t xml:space="preserve">Solution C — One-Class SVM (sklearn.svm.OneClassSVM)</w:t>
      </w:r>
    </w:p>
    <w:p>
      <w:pPr>
        <w:pStyle w:val="ListParagraph"/>
        <w:numPr>
          <w:ilvl w:val="0"/>
          <w:numId w:val="1"/>
        </w:numPr>
        <w:spacing w:after="100" w:line="290"/>
      </w:pPr>
      <w:r>
        <w:rPr>
          <w:rFonts w:ascii="Calibri" w:cs="Calibri" w:eastAsia="Calibri" w:hAnsi="Calibri"/>
          <w:b/>
          <w:bCs/>
          <w:color w:val="222222"/>
          <w:sz w:val="21"/>
          <w:szCs w:val="21"/>
        </w:rPr>
        <w:t xml:space="preserve">Principe : </w:t>
      </w:r>
      <w:r>
        <w:rPr>
          <w:rFonts w:ascii="Calibri" w:cs="Calibri" w:eastAsia="Calibri" w:hAnsi="Calibri"/>
          <w:color w:val="222222"/>
          <w:sz w:val="21"/>
          <w:szCs w:val="21"/>
        </w:rPr>
        <w:t xml:space="preserve">apprend une frontière englobant la majorité des points "normaux" dans un espace projeté par noyau.</w:t>
      </w:r>
    </w:p>
    <w:p>
      <w:pPr>
        <w:pStyle w:val="ListParagraph"/>
        <w:numPr>
          <w:ilvl w:val="0"/>
          <w:numId w:val="1"/>
        </w:numPr>
        <w:spacing w:after="100" w:line="290"/>
      </w:pPr>
      <w:r>
        <w:rPr>
          <w:rFonts w:ascii="Calibri" w:cs="Calibri" w:eastAsia="Calibri" w:hAnsi="Calibri"/>
          <w:b/>
          <w:bCs/>
          <w:color w:val="222222"/>
          <w:sz w:val="21"/>
          <w:szCs w:val="21"/>
        </w:rPr>
        <w:t xml:space="preserve">Cas d'usage : </w:t>
      </w:r>
      <w:r>
        <w:rPr>
          <w:rFonts w:ascii="Calibri" w:cs="Calibri" w:eastAsia="Calibri" w:hAnsi="Calibri"/>
          <w:color w:val="222222"/>
          <w:sz w:val="21"/>
          <w:szCs w:val="21"/>
        </w:rPr>
        <w:t xml:space="preserve">détection de nouveauté quand on dispose d'un jeu d'apprentissage jugé "propre".</w:t>
      </w:r>
    </w:p>
    <w:p>
      <w:pPr>
        <w:pStyle w:val="ListParagraph"/>
        <w:numPr>
          <w:ilvl w:val="0"/>
          <w:numId w:val="1"/>
        </w:numPr>
        <w:spacing w:after="100" w:line="290"/>
      </w:pPr>
      <w:r>
        <w:rPr>
          <w:rFonts w:ascii="Calibri" w:cs="Calibri" w:eastAsia="Calibri" w:hAnsi="Calibri"/>
          <w:b/>
          <w:bCs/>
          <w:color w:val="222222"/>
          <w:sz w:val="21"/>
          <w:szCs w:val="21"/>
        </w:rPr>
        <w:t xml:space="preserve">Avantages : </w:t>
      </w:r>
      <w:r>
        <w:rPr>
          <w:rFonts w:ascii="Calibri" w:cs="Calibri" w:eastAsia="Calibri" w:hAnsi="Calibri"/>
          <w:color w:val="222222"/>
          <w:sz w:val="21"/>
          <w:szCs w:val="21"/>
        </w:rPr>
        <w:t xml:space="preserve">formalisme mathématique solide, bon comportement sur frontières non linéaires.</w:t>
      </w:r>
    </w:p>
    <w:p>
      <w:pPr>
        <w:pStyle w:val="ListParagraph"/>
        <w:numPr>
          <w:ilvl w:val="0"/>
          <w:numId w:val="1"/>
        </w:numPr>
        <w:spacing w:after="100" w:line="290"/>
      </w:pPr>
      <w:r>
        <w:rPr>
          <w:rFonts w:ascii="Calibri" w:cs="Calibri" w:eastAsia="Calibri" w:hAnsi="Calibri"/>
          <w:b/>
          <w:bCs/>
          <w:color w:val="222222"/>
          <w:sz w:val="21"/>
          <w:szCs w:val="21"/>
        </w:rPr>
        <w:t xml:space="preserve">Limites : </w:t>
      </w:r>
      <w:r>
        <w:rPr>
          <w:rFonts w:ascii="Calibri" w:cs="Calibri" w:eastAsia="Calibri" w:hAnsi="Calibri"/>
          <w:color w:val="222222"/>
          <w:sz w:val="21"/>
          <w:szCs w:val="21"/>
        </w:rPr>
        <w:t xml:space="preserve">très sensible aux hyperparamètres (nu, gamma) ; peu interprétable ; nécessite un jeu d'apprentissage "propre", non garanti ici. Écartée avant implémentation : la complexité de réglage n'est pas justifiée pour un catalogue de 825 références.</w:t>
      </w:r>
    </w:p>
    <w:p>
      <w:pPr>
        <w:pStyle w:val="ListParagraph"/>
        <w:numPr>
          <w:ilvl w:val="0"/>
          <w:numId w:val="1"/>
        </w:numPr>
        <w:spacing w:after="100" w:line="290"/>
      </w:pPr>
      <w:r>
        <w:rPr>
          <w:rFonts w:ascii="Calibri" w:cs="Calibri" w:eastAsia="Calibri" w:hAnsi="Calibri"/>
          <w:b/>
          <w:bCs/>
          <w:color w:val="222222"/>
          <w:sz w:val="21"/>
          <w:szCs w:val="21"/>
        </w:rPr>
        <w:t xml:space="preserve">Source : </w:t>
      </w:r>
      <w:r>
        <w:rPr>
          <w:rFonts w:ascii="Calibri" w:cs="Calibri" w:eastAsia="Calibri" w:hAnsi="Calibri"/>
          <w:color w:val="222222"/>
          <w:sz w:val="21"/>
          <w:szCs w:val="21"/>
        </w:rPr>
        <w:t xml:space="preserve">scikit-learn, OneClassSVM — scikit-learn.org/stable/modules/generated/sklearn.svm.OneClassSVM.html (consultée en juillet 2026).</w:t>
      </w:r>
    </w:p>
    <w:p>
      <w:pPr>
        <w:pStyle w:val="Heading1"/>
        <w:pBdr>
          <w:bottom w:val="single" w:color="1F7A8C" w:sz="6" w:space="6"/>
        </w:pBdr>
        <w:spacing w:after="200" w:before="420"/>
      </w:pPr>
      <w:r>
        <w:rPr>
          <w:rFonts w:ascii="Calibri" w:cs="Calibri" w:eastAsia="Calibri" w:hAnsi="Calibri"/>
          <w:b/>
          <w:bCs/>
          <w:color w:val="134652"/>
          <w:sz w:val="30"/>
          <w:szCs w:val="30"/>
        </w:rPr>
        <w:t xml:space="preserve">4. Tableau de critères de comparaison</w:t>
      </w:r>
    </w:p>
    <w:tbl>
      <w:tblPr>
        <w:tblW w:type="dxa" w:w="9648"/>
        <w:tblBorders>
          <w:top w:val="single" w:color="D5D8DB" w:sz="4"/>
          <w:left w:val="single" w:color="D5D8DB" w:sz="4"/>
          <w:bottom w:val="single" w:color="D5D8DB" w:sz="4"/>
          <w:right w:val="single" w:color="D5D8DB" w:sz="4"/>
          <w:insideH w:val="single" w:color="D5D8DB" w:sz="4"/>
          <w:insideV w:val="single" w:color="D5D8DB" w:sz="4"/>
        </w:tblBorders>
      </w:tblPr>
      <w:tblGrid>
        <w:gridCol w:w="2600"/>
        <w:gridCol w:w="2900"/>
        <w:gridCol w:w="2900"/>
        <w:gridCol w:w="3120"/>
      </w:tblGrid>
      <w:tr>
        <w:trPr>
          <w:cantSplit/>
          <w:tblHeader/>
        </w:trPr>
        <w:tc>
          <w:tcPr>
            <w:tcW w:type="dxa" w:w="26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Critère</w:t>
            </w:r>
          </w:p>
        </w:tc>
        <w:tc>
          <w:tcPr>
            <w:tcW w:type="dxa" w:w="29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Isolation Forest</w:t>
            </w:r>
          </w:p>
        </w:tc>
        <w:tc>
          <w:tcPr>
            <w:tcW w:type="dxa" w:w="29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Local Outlier Factor</w:t>
            </w:r>
          </w:p>
        </w:tc>
        <w:tc>
          <w:tcPr>
            <w:tcW w:type="dxa" w:w="312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One-Class SVM</w:t>
            </w:r>
          </w:p>
        </w:tc>
      </w:tr>
      <w:tr>
        <w:trPr>
          <w:cantSplit/>
        </w:trPr>
        <w:tc>
          <w:tcPr>
            <w:tcW w:type="dxa" w:w="26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Qualité de détection</w:t>
            </w:r>
          </w:p>
        </w:tc>
        <w:tc>
          <w:tcPr>
            <w:tcW w:type="dxa" w:w="29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Bonne, y compris anomalies globales</w:t>
            </w:r>
          </w:p>
        </w:tc>
        <w:tc>
          <w:tcPr>
            <w:tcW w:type="dxa" w:w="29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Très bonne sur anomalies locales/contextuelles</w:t>
            </w:r>
          </w:p>
        </w:tc>
        <w:tc>
          <w:tcPr>
            <w:tcW w:type="dxa" w:w="31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Bonne si frontière bien ajustée, sensible au tuning</w:t>
            </w:r>
          </w:p>
        </w:tc>
      </w:tr>
      <w:tr>
        <w:trPr>
          <w:cantSplit/>
        </w:trPr>
        <w:tc>
          <w:tcPr>
            <w:tcW w:type="dxa" w:w="26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Robustesse / biais</w:t>
            </w:r>
          </w:p>
        </w:tc>
        <w:tc>
          <w:tcPr>
            <w:tcW w:type="dxa" w:w="29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Peu sensible aux outliers extrêmes ; dépend de contamination</w:t>
            </w:r>
          </w:p>
        </w:tc>
        <w:tc>
          <w:tcPr>
            <w:tcW w:type="dxa" w:w="29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Sensible à n_neighbors ; peut sur-détecter en zone peu dense</w:t>
            </w:r>
          </w:p>
        </w:tc>
        <w:tc>
          <w:tcPr>
            <w:tcW w:type="dxa" w:w="31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Très sensible à nu/gamma : risque de biais fort</w:t>
            </w:r>
          </w:p>
        </w:tc>
      </w:tr>
      <w:tr>
        <w:trPr>
          <w:cantSplit/>
        </w:trPr>
        <w:tc>
          <w:tcPr>
            <w:tcW w:type="dxa" w:w="26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Coût / temps de calcul (mesuré sur 825 lignes)</w:t>
            </w:r>
          </w:p>
        </w:tc>
        <w:tc>
          <w:tcPr>
            <w:tcW w:type="dxa" w:w="29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46,9 ms</w:t>
            </w:r>
          </w:p>
        </w:tc>
        <w:tc>
          <w:tcPr>
            <w:tcW w:type="dxa" w:w="29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1,7 ms — plus rapide que théoriquement attendu à cette échelle</w:t>
            </w:r>
          </w:p>
        </w:tc>
        <w:tc>
          <w:tcPr>
            <w:tcW w:type="dxa" w:w="31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Non testé, écartée en amont</w:t>
            </w:r>
          </w:p>
        </w:tc>
      </w:tr>
      <w:tr>
        <w:trPr>
          <w:cantSplit/>
        </w:trPr>
        <w:tc>
          <w:tcPr>
            <w:tcW w:type="dxa" w:w="26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Reproductibilité</w:t>
            </w:r>
          </w:p>
        </w:tc>
        <w:tc>
          <w:tcPr>
            <w:tcW w:type="dxa" w:w="29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Élevée avec random_state fixé</w:t>
            </w:r>
          </w:p>
        </w:tc>
        <w:tc>
          <w:tcPr>
            <w:tcW w:type="dxa" w:w="29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Élevée (déterministe à n_neighbors fixé)</w:t>
            </w:r>
          </w:p>
        </w:tc>
        <w:tc>
          <w:tcPr>
            <w:tcW w:type="dxa" w:w="31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Moyenne (sensibilité au tuning)</w:t>
            </w:r>
          </w:p>
        </w:tc>
      </w:tr>
      <w:tr>
        <w:trPr>
          <w:cantSplit/>
        </w:trPr>
        <w:tc>
          <w:tcPr>
            <w:tcW w:type="dxa" w:w="26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Sécurité / conformité</w:t>
            </w:r>
          </w:p>
        </w:tc>
        <w:tc>
          <w:tcPr>
            <w:tcW w:type="dxa" w:w="29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Aucune donnée personnelle, pas d'enjeu RGPD</w:t>
            </w:r>
          </w:p>
        </w:tc>
        <w:tc>
          <w:tcPr>
            <w:tcW w:type="dxa" w:w="29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Idem</w:t>
            </w:r>
          </w:p>
        </w:tc>
        <w:tc>
          <w:tcPr>
            <w:tcW w:type="dxa" w:w="31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Idem</w:t>
            </w:r>
          </w:p>
        </w:tc>
      </w:tr>
      <w:tr>
        <w:trPr>
          <w:cantSplit/>
        </w:trPr>
        <w:tc>
          <w:tcPr>
            <w:tcW w:type="dxa" w:w="26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Sobriété / impact</w:t>
            </w:r>
          </w:p>
        </w:tc>
        <w:tc>
          <w:tcPr>
            <w:tcW w:type="dxa" w:w="29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46,9 ms par exécution ; ajustement en mémoire, sans GPU ni modèle pré-entraîné</w:t>
            </w:r>
          </w:p>
        </w:tc>
        <w:tc>
          <w:tcPr>
            <w:tcW w:type="dxa" w:w="29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1,7 ms, soit 27 fois moins ; même absence d'infrastructure</w:t>
            </w:r>
          </w:p>
        </w:tc>
        <w:tc>
          <w:tcPr>
            <w:tcW w:type="dxa" w:w="31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Non mesuré. Son réglage impose des exécutions répétées : coût cumulé sans commune mesure, pour un gain non démontré</w:t>
            </w:r>
          </w:p>
        </w:tc>
      </w:tr>
      <w:tr>
        <w:trPr>
          <w:cantSplit/>
        </w:trPr>
        <w:tc>
          <w:tcPr>
            <w:tcW w:type="dxa" w:w="26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Maintenabilité (profil Data Analyst)</w:t>
            </w:r>
          </w:p>
        </w:tc>
        <w:tc>
          <w:tcPr>
            <w:tcW w:type="dxa" w:w="29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Élevée : un seul hyperparamètre métier à justifier</w:t>
            </w:r>
          </w:p>
        </w:tc>
        <w:tc>
          <w:tcPr>
            <w:tcW w:type="dxa" w:w="29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Moyenne : deux hyperparamètres à justifier</w:t>
            </w:r>
          </w:p>
        </w:tc>
        <w:tc>
          <w:tcPr>
            <w:tcW w:type="dxa" w:w="31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Faible : plusieurs hyperparamètres non triviaux</w:t>
            </w:r>
          </w:p>
        </w:tc>
      </w:tr>
    </w:tbl>
    <w:p>
      <w:pPr>
        <w:keepNext/>
        <w:keepLines/>
        <w:spacing w:after="90" w:before="260"/>
        <w:jc w:val="center"/>
      </w:pPr>
      <w:r>
        <w:drawing>
          <wp:inline distT="0" distB="0" distL="0" distR="0">
            <wp:extent cx="3645006" cy="14284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45006" cy="1428448"/>
                    </a:xfrm>
                    <a:prstGeom prst="rect">
                      <a:avLst/>
                    </a:prstGeom>
                  </pic:spPr>
                </pic:pic>
              </a:graphicData>
            </a:graphic>
          </wp:inline>
        </w:drawing>
      </w:r>
    </w:p>
    <w:p>
      <w:pPr>
        <w:spacing w:after="260"/>
        <w:jc w:val="center"/>
      </w:pPr>
      <w:r>
        <w:rPr>
          <w:rFonts w:ascii="Calibri" w:cs="Calibri" w:eastAsia="Calibri" w:hAnsi="Calibri"/>
          <w:i/>
          <w:iCs/>
          <w:color w:val="5B5F63"/>
          <w:sz w:val="17"/>
          <w:szCs w:val="17"/>
        </w:rPr>
        <w:t xml:space="preserve">Figure 1 — Coût de calcul mesuré, et non estimé : la ligne « temps de calcul » du tableau ci-dessus.</w:t>
      </w:r>
    </w:p>
    <w:p>
      <w:pPr>
        <w:spacing w:after="160" w:before="160"/>
      </w:pPr>
      <w:r>
        <w:rPr>
          <w:rFonts w:ascii="Calibri" w:cs="Calibri" w:eastAsia="Calibri" w:hAnsi="Calibri"/>
          <w:b w:val="false"/>
          <w:bCs w:val="false"/>
          <w:i/>
          <w:iCs/>
          <w:color w:val="222222"/>
          <w:sz w:val="21"/>
          <w:szCs w:val="21"/>
        </w:rPr>
        <w:t xml:space="preserve">Isolation Forest et Local Outlier Factor ont toutes deux été implémentées et exécutées sur les données réelles (voir Étape 4.3 du notebook) ; One-Class SVM a été écartée avant implémentation pour les raisons ci-dessus, conformément à une veille qui compare et priorise avant de coder.</w:t>
      </w:r>
    </w:p>
    <w:p>
      <w:pPr>
        <w:pStyle w:val="Heading2"/>
        <w:spacing w:after="140" w:before="300"/>
      </w:pPr>
      <w:r>
        <w:rPr>
          <w:rFonts w:ascii="Calibri" w:cs="Calibri" w:eastAsia="Calibri" w:hAnsi="Calibri"/>
          <w:b/>
          <w:bCs/>
          <w:color w:val="134652"/>
          <w:sz w:val="24"/>
          <w:szCs w:val="24"/>
        </w:rPr>
        <w:t xml:space="preserve">Sobriété numérique</w:t>
      </w:r>
    </w:p>
    <w:p>
      <w:pPr>
        <w:spacing w:after="160" w:line="300"/>
      </w:pPr>
      <w:r>
        <w:rPr>
          <w:rFonts w:ascii="Calibri" w:cs="Calibri" w:eastAsia="Calibri" w:hAnsi="Calibri"/>
          <w:b w:val="false"/>
          <w:bCs w:val="false"/>
          <w:i w:val="false"/>
          <w:iCs w:val="false"/>
          <w:color w:val="222222"/>
          <w:sz w:val="21"/>
          <w:szCs w:val="21"/>
        </w:rPr>
        <w:t xml:space="preserve">La sobriété a été ajoutée aux critères de comparaison, au même titre que la qualité ou la reproductibilité : à résultat comparable, la méthode la moins coûteuse en calcul est préférable.</w:t>
      </w:r>
    </w:p>
    <w:p>
      <w:pPr>
        <w:pStyle w:val="ListParagraph"/>
        <w:numPr>
          <w:ilvl w:val="0"/>
          <w:numId w:val="1"/>
        </w:numPr>
        <w:spacing w:after="100" w:line="290"/>
      </w:pPr>
      <w:r>
        <w:rPr>
          <w:rFonts w:ascii="Calibri" w:cs="Calibri" w:eastAsia="Calibri" w:hAnsi="Calibri"/>
          <w:b/>
          <w:bCs/>
          <w:color w:val="222222"/>
          <w:sz w:val="21"/>
          <w:szCs w:val="21"/>
        </w:rPr>
        <w:t xml:space="preserve">Ordre de grandeur mesuré : </w:t>
      </w:r>
      <w:r>
        <w:rPr>
          <w:rFonts w:ascii="Calibri" w:cs="Calibri" w:eastAsia="Calibri" w:hAnsi="Calibri"/>
          <w:color w:val="222222"/>
          <w:sz w:val="21"/>
          <w:szCs w:val="21"/>
        </w:rPr>
        <w:t xml:space="preserve">le notebook complet s'exécute en environ 5 secondes sur un ordinateur portable standard, sans GPU, sans service cloud et sans modèle pré-entraîné. La détection d'anomalies pèse moins de 50 millisecondes dans ce total.</w:t>
      </w:r>
    </w:p>
    <w:p>
      <w:pPr>
        <w:pStyle w:val="ListParagraph"/>
        <w:numPr>
          <w:ilvl w:val="0"/>
          <w:numId w:val="1"/>
        </w:numPr>
        <w:spacing w:after="100" w:line="290"/>
      </w:pPr>
      <w:r>
        <w:rPr>
          <w:rFonts w:ascii="Calibri" w:cs="Calibri" w:eastAsia="Calibri" w:hAnsi="Calibri"/>
          <w:b/>
          <w:bCs/>
          <w:color w:val="222222"/>
          <w:sz w:val="21"/>
          <w:szCs w:val="21"/>
        </w:rPr>
        <w:t xml:space="preserve">Ce que le critère écarte : </w:t>
      </w:r>
      <w:r>
        <w:rPr>
          <w:rFonts w:ascii="Calibri" w:cs="Calibri" w:eastAsia="Calibri" w:hAnsi="Calibri"/>
          <w:color w:val="222222"/>
          <w:sz w:val="21"/>
          <w:szCs w:val="21"/>
        </w:rPr>
        <w:t xml:space="preserve">une approche par apprentissage profond, ou un service d'inférence hébergé, aurait un coût énergétique et financier sans rapport avec l'enjeu — un catalogue de 825 références. One-Class SVM est écartée pour la même raison : son réglage impose des exécutions répétées, donc un coût cumulé, pour un gain non démontré.</w:t>
      </w:r>
    </w:p>
    <w:p>
      <w:pPr>
        <w:pStyle w:val="ListParagraph"/>
        <w:numPr>
          <w:ilvl w:val="0"/>
          <w:numId w:val="1"/>
        </w:numPr>
        <w:spacing w:after="100" w:line="290"/>
      </w:pPr>
      <w:r>
        <w:rPr>
          <w:rFonts w:ascii="Calibri" w:cs="Calibri" w:eastAsia="Calibri" w:hAnsi="Calibri"/>
          <w:b/>
          <w:bCs/>
          <w:color w:val="222222"/>
          <w:sz w:val="21"/>
          <w:szCs w:val="21"/>
        </w:rPr>
        <w:t xml:space="preserve">Le dispositif de veille suit la même règle : </w:t>
      </w:r>
      <w:r>
        <w:rPr>
          <w:rFonts w:ascii="Calibri" w:cs="Calibri" w:eastAsia="Calibri" w:hAnsi="Calibri"/>
          <w:color w:val="222222"/>
          <w:sz w:val="21"/>
          <w:szCs w:val="21"/>
        </w:rPr>
        <w:t xml:space="preserve">un script en bibliothèque standard qui interroge onze flux une fois par semaine, plutôt qu'un service hébergé qui interroge en continu.</w:t>
      </w:r>
    </w:p>
    <w:p>
      <w:pPr>
        <w:pStyle w:val="ListParagraph"/>
        <w:numPr>
          <w:ilvl w:val="0"/>
          <w:numId w:val="1"/>
        </w:numPr>
        <w:spacing w:after="100" w:line="290"/>
      </w:pPr>
      <w:r>
        <w:rPr>
          <w:rFonts w:ascii="Calibri" w:cs="Calibri" w:eastAsia="Calibri" w:hAnsi="Calibri"/>
          <w:b/>
          <w:bCs/>
          <w:color w:val="222222"/>
          <w:sz w:val="21"/>
          <w:szCs w:val="21"/>
        </w:rPr>
        <w:t xml:space="preserve">Amélioration continue : </w:t>
      </w:r>
      <w:r>
        <w:rPr>
          <w:rFonts w:ascii="Calibri" w:cs="Calibri" w:eastAsia="Calibri" w:hAnsi="Calibri"/>
          <w:color w:val="222222"/>
          <w:sz w:val="21"/>
          <w:szCs w:val="21"/>
        </w:rPr>
        <w:t xml:space="preserve">le chiffre de 46,9 ms est un point de repère daté, valable pour 825 lignes. Il est à re-mesurer si le catalogue grossit — c'est la condition pour que le critère reste un critère et ne devienne pas un slogan.</w:t>
      </w:r>
    </w:p>
    <w:p>
      <w:pPr>
        <w:spacing w:after="160" w:before="120"/>
      </w:pPr>
      <w:r>
        <w:rPr>
          <w:rFonts w:ascii="Calibri" w:cs="Calibri" w:eastAsia="Calibri" w:hAnsi="Calibri"/>
          <w:b w:val="false"/>
          <w:bCs w:val="false"/>
          <w:i/>
          <w:iCs/>
          <w:color w:val="222222"/>
          <w:sz w:val="21"/>
          <w:szCs w:val="21"/>
        </w:rPr>
        <w:t xml:space="preserve">Limite assumée : je ne mesure pas une consommation électrique. Le temps de calcul et l'absence d'infrastructure dédiée sont des indicateurs indirects, pas un bilan carbone.</w:t>
      </w:r>
    </w:p>
    <w:p>
      <w:pPr>
        <w:pStyle w:val="Heading1"/>
        <w:pBdr>
          <w:bottom w:val="single" w:color="1F7A8C" w:sz="6" w:space="6"/>
        </w:pBdr>
        <w:spacing w:after="200" w:before="420"/>
      </w:pPr>
      <w:r>
        <w:rPr>
          <w:rFonts w:ascii="Calibri" w:cs="Calibri" w:eastAsia="Calibri" w:hAnsi="Calibri"/>
          <w:b/>
          <w:bCs/>
          <w:color w:val="134652"/>
          <w:sz w:val="30"/>
          <w:szCs w:val="30"/>
        </w:rPr>
        <w:t xml:space="preserve">5. Besoin complémentaire — significativité statistique des corrélations</w:t>
      </w:r>
    </w:p>
    <w:p>
      <w:pPr>
        <w:spacing w:after="160" w:line="300"/>
      </w:pPr>
      <w:r>
        <w:rPr>
          <w:rFonts w:ascii="Calibri" w:cs="Calibri" w:eastAsia="Calibri" w:hAnsi="Calibri"/>
          <w:b w:val="false"/>
          <w:bCs w:val="false"/>
          <w:i w:val="false"/>
          <w:iCs w:val="false"/>
          <w:color w:val="222222"/>
          <w:sz w:val="21"/>
          <w:szCs w:val="21"/>
        </w:rPr>
        <w:t xml:space="preserve">Comment vérifier qu'une corrélation lue sur une heatmap n'est pas un artefact de l'échantillon, et détecter d'éventuelles relations non linéaires qu'un coefficient de Pearson ne capture pas ?</w:t>
      </w:r>
    </w:p>
    <w:p>
      <w:pPr>
        <w:pStyle w:val="ListParagraph"/>
        <w:numPr>
          <w:ilvl w:val="0"/>
          <w:numId w:val="1"/>
        </w:numPr>
        <w:spacing w:after="100" w:line="290"/>
      </w:pPr>
      <w:r>
        <w:rPr>
          <w:rFonts w:ascii="Calibri" w:cs="Calibri" w:eastAsia="Calibri" w:hAnsi="Calibri"/>
          <w:b/>
          <w:bCs/>
          <w:color w:val="222222"/>
          <w:sz w:val="21"/>
          <w:szCs w:val="21"/>
        </w:rPr>
        <w:t xml:space="preserve">Solution A — Test de Pearson (scipy.stats.pearsonr) : </w:t>
      </w:r>
      <w:r>
        <w:rPr>
          <w:rFonts w:ascii="Calibri" w:cs="Calibri" w:eastAsia="Calibri" w:hAnsi="Calibri"/>
          <w:color w:val="222222"/>
          <w:sz w:val="21"/>
          <w:szCs w:val="21"/>
        </w:rPr>
        <w:t xml:space="preserve">mesure la corrélation linéaire et renvoie une p-value. Cohérent avec le coefficient déjà affiché dans la heatmap. Limite : ne détecte que les relations linéaires. Source : docs.scipy.org/doc/scipy/reference/generated/scipy.stats.pearsonr.html (consultée en juillet 2026).</w:t>
      </w:r>
    </w:p>
    <w:p>
      <w:pPr>
        <w:pStyle w:val="ListParagraph"/>
        <w:numPr>
          <w:ilvl w:val="0"/>
          <w:numId w:val="1"/>
        </w:numPr>
        <w:spacing w:after="100" w:line="290"/>
      </w:pPr>
      <w:r>
        <w:rPr>
          <w:rFonts w:ascii="Calibri" w:cs="Calibri" w:eastAsia="Calibri" w:hAnsi="Calibri"/>
          <w:b/>
          <w:bCs/>
          <w:color w:val="222222"/>
          <w:sz w:val="21"/>
          <w:szCs w:val="21"/>
        </w:rPr>
        <w:t xml:space="preserve">Solution B — Test de Spearman (scipy.stats.spearmanr) : </w:t>
      </w:r>
      <w:r>
        <w:rPr>
          <w:rFonts w:ascii="Calibri" w:cs="Calibri" w:eastAsia="Calibri" w:hAnsi="Calibri"/>
          <w:color w:val="222222"/>
          <w:sz w:val="21"/>
          <w:szCs w:val="21"/>
        </w:rPr>
        <w:t xml:space="preserve">corrélation de rang, capte les relations monotones même non linéaires, plus robuste aux outliers. Limite : moins intuitif pour un public métier. Source : docs.scipy.org/doc/scipy/reference/generated/scipy.stats.spearmanr.html (consultée en juillet 2026).</w:t>
      </w:r>
    </w:p>
    <w:tbl>
      <w:tblPr>
        <w:tblW w:type="dxa" w:w="9648"/>
        <w:tblBorders>
          <w:top w:val="single" w:color="E8622C" w:sz="4"/>
          <w:left w:val="single" w:color="E8622C" w:sz="24"/>
          <w:bottom w:val="single" w:color="E8622C" w:sz="4"/>
          <w:right w:val="single" w:color="E8622C" w:sz="4"/>
          <w:insideH w:val="none" w:color="FFFFFF" w:sz="0"/>
          <w:insideV w:val="none" w:color="FFFFFF" w:sz="0"/>
        </w:tblBorders>
      </w:tblPr>
      <w:tblGrid>
        <w:gridCol w:w="9648"/>
      </w:tblGrid>
      <w:tr>
        <w:tc>
          <w:tcPr>
            <w:tcW w:type="dxa" w:w="9648"/>
            <w:shd w:fill="FBF3EF" w:color="auto" w:val="clear"/>
            <w:tcMar>
              <w:top w:type="dxa" w:w="160"/>
              <w:left w:type="dxa" w:w="220"/>
              <w:bottom w:type="dxa" w:w="160"/>
              <w:right w:type="dxa" w:w="220"/>
            </w:tcMar>
          </w:tcPr>
          <w:p>
            <w:pPr>
              <w:spacing w:after="40"/>
            </w:pPr>
            <w:r>
              <w:rPr>
                <w:rFonts w:ascii="Calibri" w:cs="Calibri" w:eastAsia="Calibri" w:hAnsi="Calibri"/>
                <w:b/>
                <w:bCs/>
                <w:color w:val="E8622C"/>
                <w:spacing w:val="15"/>
                <w:sz w:val="17"/>
                <w:szCs w:val="17"/>
              </w:rPr>
              <w:t xml:space="preserve">DÉCISION</w:t>
            </w:r>
          </w:p>
          <w:p>
            <w:r>
              <w:rPr>
                <w:rFonts w:ascii="Calibri" w:cs="Calibri" w:eastAsia="Calibri" w:hAnsi="Calibri"/>
                <w:i/>
                <w:iCs/>
                <w:color w:val="2B2B2B"/>
                <w:sz w:val="21"/>
                <w:szCs w:val="21"/>
              </w:rPr>
              <w:t xml:space="preserve">Les deux tests sont calculés pour chaque paire de variables de la heatmap, avec un seuil standard p &lt; 0,05, pour croiser force de la relation et fiabilité de la relation.</w:t>
            </w:r>
          </w:p>
        </w:tc>
      </w:tr>
    </w:tbl>
    <w:p>
      <w:pPr>
        <w:pStyle w:val="Heading1"/>
        <w:pBdr>
          <w:bottom w:val="single" w:color="1F7A8C" w:sz="6" w:space="6"/>
        </w:pBdr>
        <w:spacing w:after="200" w:before="420"/>
      </w:pPr>
      <w:r>
        <w:rPr>
          <w:rFonts w:ascii="Calibri" w:cs="Calibri" w:eastAsia="Calibri" w:hAnsi="Calibri"/>
          <w:b/>
          <w:bCs/>
          <w:color w:val="134652"/>
          <w:sz w:val="30"/>
          <w:szCs w:val="30"/>
        </w:rPr>
        <w:t xml:space="preserve">6. Décision finale argumentée (confirmée après implémentation réelle)</w:t>
      </w:r>
    </w:p>
    <w:p>
      <w:pPr>
        <w:spacing w:after="200"/>
      </w:pPr>
    </w:p>
    <w:tbl>
      <w:tblPr>
        <w:tblW w:type="dxa" w:w="9648"/>
        <w:tblBorders>
          <w:top w:val="single" w:color="1F7A8C" w:sz="4"/>
          <w:left w:val="single" w:color="1F7A8C" w:sz="24"/>
          <w:bottom w:val="single" w:color="1F7A8C" w:sz="4"/>
          <w:right w:val="single" w:color="1F7A8C" w:sz="4"/>
          <w:insideH w:val="none" w:color="FFFFFF" w:sz="0"/>
          <w:insideV w:val="none" w:color="FFFFFF" w:sz="0"/>
        </w:tblBorders>
      </w:tblPr>
      <w:tblGrid>
        <w:gridCol w:w="9648"/>
      </w:tblGrid>
      <w:tr>
        <w:tc>
          <w:tcPr>
            <w:tcW w:type="dxa" w:w="9648"/>
            <w:shd w:fill="FBF3EF" w:color="auto" w:val="clear"/>
            <w:tcMar>
              <w:top w:type="dxa" w:w="160"/>
              <w:left w:type="dxa" w:w="220"/>
              <w:bottom w:type="dxa" w:w="160"/>
              <w:right w:type="dxa" w:w="220"/>
            </w:tcMar>
          </w:tcPr>
          <w:p>
            <w:pPr>
              <w:spacing w:after="40"/>
            </w:pPr>
            <w:r>
              <w:rPr>
                <w:rFonts w:ascii="Calibri" w:cs="Calibri" w:eastAsia="Calibri" w:hAnsi="Calibri"/>
                <w:b/>
                <w:bCs/>
                <w:color w:val="1F7A8C"/>
                <w:spacing w:val="15"/>
                <w:sz w:val="17"/>
                <w:szCs w:val="17"/>
              </w:rPr>
              <w:t xml:space="preserve">DÉCISION</w:t>
            </w:r>
          </w:p>
          <w:p>
            <w:r>
              <w:rPr>
                <w:rFonts w:ascii="Calibri" w:cs="Calibri" w:eastAsia="Calibri" w:hAnsi="Calibri"/>
                <w:i/>
                <w:iCs/>
                <w:color w:val="2B2B2B"/>
                <w:sz w:val="21"/>
                <w:szCs w:val="21"/>
              </w:rPr>
              <w:t xml:space="preserve">Solution retenue : Isolation Forest, complétée par les tests de Pearson et Spearman pour les corrélations.</w:t>
            </w:r>
          </w:p>
        </w:tc>
      </w:tr>
    </w:tbl>
    <w:p>
      <w:pPr>
        <w:spacing w:before="220"/>
      </w:pPr>
    </w:p>
    <w:p>
      <w:pPr>
        <w:pStyle w:val="ListParagraph"/>
        <w:numPr>
          <w:ilvl w:val="0"/>
          <w:numId w:val="1"/>
        </w:numPr>
        <w:spacing w:after="100" w:line="290"/>
      </w:pPr>
      <w:r>
        <w:rPr>
          <w:rFonts w:ascii="Calibri" w:cs="Calibri" w:eastAsia="Calibri" w:hAnsi="Calibri"/>
          <w:b/>
          <w:bCs/>
          <w:color w:val="222222"/>
          <w:sz w:val="21"/>
          <w:szCs w:val="21"/>
        </w:rPr>
        <w:t xml:space="preserve">Recoupement avec l'IQR — </w:t>
      </w:r>
      <w:r>
        <w:rPr>
          <w:rFonts w:ascii="Calibri" w:cs="Calibri" w:eastAsia="Calibri" w:hAnsi="Calibri"/>
          <w:color w:val="222222"/>
          <w:sz w:val="21"/>
          <w:szCs w:val="21"/>
        </w:rPr>
        <w:t xml:space="preserve">Isolation Forest recoupe l'IQR à 23,64% (indice de Jaccard), contre seulement 7,94% pour Local Outlier Factor. Isolation Forest reste donc plus cohérent avec l'analyse univariée déjà présentée aux équipes métier.</w:t>
      </w:r>
    </w:p>
    <w:p>
      <w:pPr>
        <w:pStyle w:val="ListParagraph"/>
        <w:numPr>
          <w:ilvl w:val="0"/>
          <w:numId w:val="1"/>
        </w:numPr>
        <w:spacing w:after="100" w:line="290"/>
      </w:pPr>
      <w:r>
        <w:rPr>
          <w:rFonts w:ascii="Calibri" w:cs="Calibri" w:eastAsia="Calibri" w:hAnsi="Calibri"/>
          <w:b/>
          <w:bCs/>
          <w:color w:val="222222"/>
          <w:sz w:val="21"/>
          <w:szCs w:val="21"/>
        </w:rPr>
        <w:t xml:space="preserve">Justifiable auprès des équipes métier — </w:t>
      </w:r>
      <w:r>
        <w:rPr>
          <w:rFonts w:ascii="Calibri" w:cs="Calibri" w:eastAsia="Calibri" w:hAnsi="Calibri"/>
          <w:color w:val="222222"/>
          <w:sz w:val="21"/>
          <w:szCs w:val="21"/>
        </w:rPr>
        <w:t xml:space="preserve">Isolation Forest n'a qu'un seul hyperparamètre réellement décisif (contamination), calibrable de façon objective sur le taux d'outliers déjà trouvé par l'IQR — plus facile à justifier qu'un réglage de n_neighbors sur Local Outlier Factor.</w:t>
      </w:r>
    </w:p>
    <w:p>
      <w:pPr>
        <w:pStyle w:val="ListParagraph"/>
        <w:numPr>
          <w:ilvl w:val="0"/>
          <w:numId w:val="1"/>
        </w:numPr>
        <w:spacing w:after="100" w:line="290"/>
      </w:pPr>
      <w:r>
        <w:rPr>
          <w:rFonts w:ascii="Calibri" w:cs="Calibri" w:eastAsia="Calibri" w:hAnsi="Calibri"/>
          <w:b/>
          <w:bCs/>
          <w:color w:val="222222"/>
          <w:sz w:val="21"/>
          <w:szCs w:val="21"/>
        </w:rPr>
        <w:t xml:space="preserve">Un résultat qui contredit l'hypothèse de départ, assumé — </w:t>
      </w:r>
      <w:r>
        <w:rPr>
          <w:rFonts w:ascii="Calibri" w:cs="Calibri" w:eastAsia="Calibri" w:hAnsi="Calibri"/>
          <w:color w:val="222222"/>
          <w:sz w:val="21"/>
          <w:szCs w:val="21"/>
        </w:rPr>
        <w:t xml:space="preserve">le temps de calcul mesuré favorise en réalité Local Outlier Factor (1,7 ms contre 46,9 ms) sur ce catalogue de 825 lignes : l'avantage théorique de complexité d'Isolation Forest ne se vérifie pas à cette échelle. La décision n'est donc pas fondée sur la vitesse, mais sur le recoupement avec l'IQR et la simplicité du réglage.</w:t>
      </w:r>
    </w:p>
    <w:p>
      <w:pPr>
        <w:pStyle w:val="ListParagraph"/>
        <w:numPr>
          <w:ilvl w:val="0"/>
          <w:numId w:val="1"/>
        </w:numPr>
        <w:spacing w:after="100" w:line="290"/>
      </w:pPr>
      <w:r>
        <w:rPr>
          <w:rFonts w:ascii="Calibri" w:cs="Calibri" w:eastAsia="Calibri" w:hAnsi="Calibri"/>
          <w:b/>
          <w:bCs/>
          <w:color w:val="222222"/>
          <w:sz w:val="21"/>
          <w:szCs w:val="21"/>
        </w:rPr>
        <w:t xml:space="preserve">Sobriété — </w:t>
      </w:r>
      <w:r>
        <w:rPr>
          <w:rFonts w:ascii="Calibri" w:cs="Calibri" w:eastAsia="Calibri" w:hAnsi="Calibri"/>
          <w:color w:val="222222"/>
          <w:sz w:val="21"/>
          <w:szCs w:val="21"/>
        </w:rPr>
        <w:t xml:space="preserve">les deux méthodes retenues s'exécutent en quelques dizaines de millisecondes sur un poste ordinaire, sans infrastructure ni entraînement préalable. Le critère ne départage pas Isolation Forest de Local Outlier Factor, mais il a servi à écarter les approches plus lourdes en amont.</w:t>
      </w:r>
    </w:p>
    <w:p>
      <w:pPr>
        <w:pStyle w:val="ListParagraph"/>
        <w:numPr>
          <w:ilvl w:val="0"/>
          <w:numId w:val="1"/>
        </w:numPr>
        <w:spacing w:after="100" w:line="290"/>
      </w:pPr>
      <w:r>
        <w:rPr>
          <w:rFonts w:ascii="Calibri" w:cs="Calibri" w:eastAsia="Calibri" w:hAnsi="Calibri"/>
          <w:b/>
          <w:bCs/>
          <w:color w:val="222222"/>
          <w:sz w:val="21"/>
          <w:szCs w:val="21"/>
        </w:rPr>
        <w:t xml:space="preserve">Piste écartée mais conservée — </w:t>
      </w:r>
      <w:r>
        <w:rPr>
          <w:rFonts w:ascii="Calibri" w:cs="Calibri" w:eastAsia="Calibri" w:hAnsi="Calibri"/>
          <w:color w:val="222222"/>
          <w:sz w:val="21"/>
          <w:szCs w:val="21"/>
        </w:rPr>
        <w:t xml:space="preserve">Local Outlier Factor reste pertinent pour une itération future : il détecte 27 anomalies invisibles à l'IQR (contre 19 pour Isolation Forest), potentiellement utile pour une détection par famille de produits.</w:t>
      </w:r>
    </w:p>
    <w:p>
      <w:pPr>
        <w:pStyle w:val="Heading1"/>
        <w:pBdr>
          <w:bottom w:val="single" w:color="1F7A8C" w:sz="6" w:space="6"/>
        </w:pBdr>
        <w:spacing w:after="200" w:before="420"/>
      </w:pPr>
      <w:r>
        <w:rPr>
          <w:rFonts w:ascii="Calibri" w:cs="Calibri" w:eastAsia="Calibri" w:hAnsi="Calibri"/>
          <w:b/>
          <w:bCs/>
          <w:color w:val="134652"/>
          <w:sz w:val="30"/>
          <w:szCs w:val="30"/>
        </w:rPr>
        <w:t xml:space="preserve">7. Dispositif de veille continue (sourcé et automatisé)</w:t>
      </w:r>
    </w:p>
    <w:p>
      <w:pPr>
        <w:spacing w:after="160" w:line="300"/>
      </w:pPr>
      <w:r>
        <w:rPr>
          <w:rFonts w:ascii="Calibri" w:cs="Calibri" w:eastAsia="Calibri" w:hAnsi="Calibri"/>
          <w:b w:val="false"/>
          <w:bCs w:val="false"/>
          <w:i w:val="false"/>
          <w:iCs w:val="false"/>
          <w:color w:val="222222"/>
          <w:sz w:val="21"/>
          <w:szCs w:val="21"/>
        </w:rPr>
        <w:t xml:space="preserve">La veille ci-dessus a été menée pour répondre à un besoin précis et ponctuel. Pour qu'elle ne s'arrête pas à la fin du projet, un dispositif permanent a été mis en place : il est versionné dans le dossier veille/ du dépôt et fonctionne sans intervention.</w:t>
      </w:r>
    </w:p>
    <w:p>
      <w:pPr>
        <w:pStyle w:val="Heading2"/>
        <w:spacing w:after="140" w:before="300"/>
      </w:pPr>
      <w:r>
        <w:rPr>
          <w:rFonts w:ascii="Calibri" w:cs="Calibri" w:eastAsia="Calibri" w:hAnsi="Calibri"/>
          <w:b/>
          <w:bCs/>
          <w:color w:val="134652"/>
          <w:sz w:val="24"/>
          <w:szCs w:val="24"/>
        </w:rPr>
        <w:t xml:space="preserve">Sources suivies et raison de leur sélection</w:t>
      </w:r>
    </w:p>
    <w:tbl>
      <w:tblPr>
        <w:tblW w:type="dxa" w:w="9648"/>
        <w:tblBorders>
          <w:top w:val="single" w:color="D5D8DB" w:sz="4"/>
          <w:left w:val="single" w:color="D5D8DB" w:sz="4"/>
          <w:bottom w:val="single" w:color="D5D8DB" w:sz="4"/>
          <w:right w:val="single" w:color="D5D8DB" w:sz="4"/>
          <w:insideH w:val="single" w:color="D5D8DB" w:sz="4"/>
          <w:insideV w:val="single" w:color="D5D8DB" w:sz="4"/>
        </w:tblBorders>
      </w:tblPr>
      <w:tblGrid>
        <w:gridCol w:w="1300"/>
        <w:gridCol w:w="4000"/>
        <w:gridCol w:w="4320"/>
      </w:tblGrid>
      <w:tr>
        <w:trPr>
          <w:cantSplit/>
          <w:tblHeader/>
        </w:trPr>
        <w:tc>
          <w:tcPr>
            <w:tcW w:type="dxa" w:w="13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Famille</w:t>
            </w:r>
          </w:p>
        </w:tc>
        <w:tc>
          <w:tcPr>
            <w:tcW w:type="dxa" w:w="400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Source et adresse du flux</w:t>
            </w:r>
          </w:p>
        </w:tc>
        <w:tc>
          <w:tcPr>
            <w:tcW w:type="dxa" w:w="4320"/>
            <w:shd w:fill="134652" w:color="auto" w:val="clear"/>
            <w:tcMar>
              <w:top w:type="dxa" w:w="90"/>
              <w:left w:type="dxa" w:w="130"/>
              <w:bottom w:type="dxa" w:w="90"/>
              <w:right w:type="dxa" w:w="130"/>
            </w:tcMar>
            <w:vAlign w:val="center"/>
          </w:tcPr>
          <w:p>
            <w:r>
              <w:rPr>
                <w:rFonts w:ascii="Calibri" w:cs="Calibri" w:eastAsia="Calibri" w:hAnsi="Calibri"/>
                <w:b/>
                <w:bCs/>
                <w:color w:val="FFFFFF"/>
                <w:sz w:val="19"/>
                <w:szCs w:val="19"/>
              </w:rPr>
              <w:t xml:space="preserve">Pourquoi elle est suivie</w:t>
            </w:r>
          </w:p>
        </w:tc>
      </w:tr>
      <w:tr>
        <w:trPr>
          <w:cantSplit/>
        </w:trPr>
        <w:tc>
          <w:tcPr>
            <w:tcW w:type="dxa" w:w="13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Outils</w:t>
            </w:r>
          </w:p>
        </w:tc>
        <w:tc>
          <w:tcPr>
            <w:tcW w:type="dxa" w:w="40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scikit-learn — releases GitHub</w:t>
            </w:r>
          </w:p>
          <w:p>
            <w:pPr>
              <w:spacing w:before="40"/>
            </w:pPr>
            <w:r>
              <w:rPr>
                <w:rFonts w:ascii="Consolas" w:cs="Consolas" w:eastAsia="Consolas" w:hAnsi="Consolas"/>
                <w:b w:val="false"/>
                <w:bCs w:val="false"/>
                <w:color w:val="222222"/>
                <w:sz w:val="19"/>
                <w:szCs w:val="19"/>
              </w:rPr>
              <w:t xml:space="preserve">github.com/scikit-learn/scikit-learn/releases.atom</w:t>
            </w:r>
          </w:p>
          <w:p>
            <w:pPr>
              <w:spacing w:before="40"/>
            </w:pPr>
            <w:r>
              <w:rPr>
                <w:rFonts w:ascii="Consolas" w:cs="Consolas" w:eastAsia="Consolas" w:hAnsi="Consolas"/>
                <w:b w:val="false"/>
                <w:bCs w:val="false"/>
                <w:color w:val="222222"/>
                <w:sz w:val="19"/>
                <w:szCs w:val="19"/>
              </w:rPr>
              <w:t xml:space="preserve">et PyPI : pypi.org/rss/project/scikit-learn/releases.xml</w:t>
            </w:r>
          </w:p>
        </w:tc>
        <w:tc>
          <w:tcPr>
            <w:tcW w:type="dxa" w:w="43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Les méthodes utilisées ici (Isolation Forest, LOF) y évoluent ; les notes de version signalent les changements de comportement</w:t>
            </w:r>
          </w:p>
        </w:tc>
      </w:tr>
      <w:tr>
        <w:trPr>
          <w:cantSplit/>
        </w:trPr>
        <w:tc>
          <w:tcPr>
            <w:tcW w:type="dxa" w:w="13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Outils</w:t>
            </w:r>
          </w:p>
        </w:tc>
        <w:tc>
          <w:tcPr>
            <w:tcW w:type="dxa" w:w="40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pandas — releases GitHub</w:t>
            </w:r>
          </w:p>
          <w:p>
            <w:pPr>
              <w:spacing w:before="40"/>
            </w:pPr>
            <w:r>
              <w:rPr>
                <w:rFonts w:ascii="Consolas" w:cs="Consolas" w:eastAsia="Consolas" w:hAnsi="Consolas"/>
                <w:b w:val="false"/>
                <w:bCs w:val="false"/>
                <w:color w:val="222222"/>
                <w:sz w:val="19"/>
                <w:szCs w:val="19"/>
              </w:rPr>
              <w:t xml:space="preserve">github.com/pandas-dev/pandas/releases.atom</w:t>
            </w:r>
          </w:p>
        </w:tc>
        <w:tc>
          <w:tcPr>
            <w:tcW w:type="dxa" w:w="43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Socle de tous les notebooks ; ruptures d'API à anticiper</w:t>
            </w:r>
          </w:p>
        </w:tc>
      </w:tr>
      <w:tr>
        <w:trPr>
          <w:cantSplit/>
        </w:trPr>
        <w:tc>
          <w:tcPr>
            <w:tcW w:type="dxa" w:w="13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Recherche</w:t>
            </w:r>
          </w:p>
        </w:tc>
        <w:tc>
          <w:tcPr>
            <w:tcW w:type="dxa" w:w="40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arXiv, catégorie stat.ML</w:t>
            </w:r>
          </w:p>
          <w:p>
            <w:pPr>
              <w:spacing w:before="40"/>
            </w:pPr>
            <w:r>
              <w:rPr>
                <w:rFonts w:ascii="Consolas" w:cs="Consolas" w:eastAsia="Consolas" w:hAnsi="Consolas"/>
                <w:b w:val="false"/>
                <w:bCs w:val="false"/>
                <w:color w:val="222222"/>
                <w:sz w:val="19"/>
                <w:szCs w:val="19"/>
              </w:rPr>
              <w:t xml:space="preserve">export.arxiv.org/rss/stat.ML</w:t>
            </w:r>
          </w:p>
        </w:tc>
        <w:tc>
          <w:tcPr>
            <w:tcW w:type="dxa" w:w="43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Méthodes de détection d'anomalies et de traitement des données manquantes, avant leur arrivée dans les bibliothèques</w:t>
            </w:r>
          </w:p>
        </w:tc>
      </w:tr>
      <w:tr>
        <w:trPr>
          <w:cantSplit/>
        </w:trPr>
        <w:tc>
          <w:tcPr>
            <w:tcW w:type="dxa" w:w="13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Métier</w:t>
            </w:r>
          </w:p>
        </w:tc>
        <w:tc>
          <w:tcPr>
            <w:tcW w:type="dxa" w:w="40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Real Python — realpython.com/atom.xml</w:t>
            </w:r>
          </w:p>
          <w:p>
            <w:pPr>
              <w:spacing w:before="40"/>
            </w:pPr>
            <w:r>
              <w:rPr>
                <w:rFonts w:ascii="Consolas" w:cs="Consolas" w:eastAsia="Consolas" w:hAnsi="Consolas"/>
                <w:b w:val="false"/>
                <w:bCs w:val="false"/>
                <w:color w:val="222222"/>
                <w:sz w:val="19"/>
                <w:szCs w:val="19"/>
              </w:rPr>
              <w:t xml:space="preserve">KDnuggets — kdnuggets.com/feed</w:t>
            </w:r>
          </w:p>
        </w:tc>
        <w:tc>
          <w:tcPr>
            <w:tcW w:type="dxa" w:w="43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Pratique appliquée et retours d'expérience transposables</w:t>
            </w:r>
          </w:p>
        </w:tc>
      </w:tr>
      <w:tr>
        <w:trPr>
          <w:cantSplit/>
        </w:trPr>
        <w:tc>
          <w:tcPr>
            <w:tcW w:type="dxa" w:w="13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Alertes</w:t>
            </w:r>
          </w:p>
        </w:tc>
        <w:tc>
          <w:tcPr>
            <w:tcW w:type="dxa" w:w="400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4 alertes par mots-clés, Google News RSS</w:t>
            </w:r>
          </w:p>
          <w:p>
            <w:pPr>
              <w:spacing w:before="40"/>
            </w:pPr>
            <w:r>
              <w:rPr>
                <w:rFonts w:ascii="Consolas" w:cs="Consolas" w:eastAsia="Consolas" w:hAnsi="Consolas"/>
                <w:b w:val="false"/>
                <w:bCs w:val="false"/>
                <w:color w:val="222222"/>
                <w:sz w:val="19"/>
                <w:szCs w:val="19"/>
              </w:rPr>
              <w:t xml:space="preserve">news.google.com/rss/search?q=…</w:t>
            </w:r>
          </w:p>
          <w:p>
            <w:pPr>
              <w:spacing w:before="40"/>
            </w:pPr>
            <w:r>
              <w:rPr>
                <w:rFonts w:ascii="Consolas" w:cs="Consolas" w:eastAsia="Consolas" w:hAnsi="Consolas"/>
                <w:b w:val="false"/>
                <w:bCs w:val="false"/>
                <w:color w:val="222222"/>
                <w:sz w:val="19"/>
                <w:szCs w:val="19"/>
              </w:rPr>
              <w:t xml:space="preserve">(anomaly detection, data quality, détection d'anomalies, Power BI)</w:t>
            </w:r>
          </w:p>
        </w:tc>
        <w:tc>
          <w:tcPr>
            <w:tcW w:type="dxa" w:w="4320"/>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Déclenchement par sujet et non par source</w:t>
            </w:r>
          </w:p>
        </w:tc>
      </w:tr>
      <w:tr>
        <w:trPr>
          <w:cantSplit/>
        </w:trPr>
        <w:tc>
          <w:tcPr>
            <w:tcW w:type="dxa" w:w="13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Lecteur seul</w:t>
            </w:r>
          </w:p>
        </w:tc>
        <w:tc>
          <w:tcPr>
            <w:tcW w:type="dxa" w:w="400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Power BI blog (Microsoft)</w:t>
            </w:r>
          </w:p>
          <w:p>
            <w:pPr>
              <w:spacing w:before="40"/>
            </w:pPr>
            <w:r>
              <w:rPr>
                <w:rFonts w:ascii="Consolas" w:cs="Consolas" w:eastAsia="Consolas" w:hAnsi="Consolas"/>
                <w:b w:val="false"/>
                <w:bCs w:val="false"/>
                <w:color w:val="222222"/>
                <w:sz w:val="19"/>
                <w:szCs w:val="19"/>
              </w:rPr>
              <w:t xml:space="preserve">powerbi.microsoft.com/en-us/blog/feed/</w:t>
            </w:r>
          </w:p>
        </w:tc>
        <w:tc>
          <w:tcPr>
            <w:tcW w:type="dxa" w:w="4320"/>
            <w:shd w:fill="EDEFF1" w:color="auto" w:val="clear"/>
            <w:tcMar>
              <w:top w:type="dxa" w:w="90"/>
              <w:left w:type="dxa" w:w="130"/>
              <w:bottom w:type="dxa" w:w="90"/>
              <w:right w:type="dxa" w:w="130"/>
            </w:tcMar>
            <w:vAlign w:val="center"/>
          </w:tcPr>
          <w:p>
            <w:r>
              <w:rPr>
                <w:rFonts w:ascii="Calibri" w:cs="Calibri" w:eastAsia="Calibri" w:hAnsi="Calibri"/>
                <w:b w:val="false"/>
                <w:bCs w:val="false"/>
                <w:color w:val="222222"/>
                <w:sz w:val="19"/>
                <w:szCs w:val="19"/>
              </w:rPr>
              <w:t xml:space="preserve">Source pertinente mais qui refuse les requêtes automatisées (HTTP 403) : suivie en lecteur RSS, et le digest le signale plutôt que de la masquer</w:t>
            </w:r>
          </w:p>
        </w:tc>
      </w:tr>
    </w:tbl>
    <w:p>
      <w:pPr>
        <w:spacing w:after="160" w:line="300"/>
      </w:pPr>
      <w:r>
        <w:rPr>
          <w:rFonts w:ascii="Calibri" w:cs="Calibri" w:eastAsia="Calibri" w:hAnsi="Calibri"/>
          <w:b w:val="false"/>
          <w:bCs w:val="false"/>
          <w:i/>
          <w:iCs/>
          <w:color w:val="222222"/>
          <w:sz w:val="21"/>
          <w:szCs w:val="21"/>
        </w:rPr>
        <w:t xml:space="preserve">Les adresses de ces onze flux, regroupés ici en six familles, sont consignées au format OPML dans veille/sources.opml, importable dans n'importe quel lecteur RSS. Chaque digest produit est daté dans son nom de fichier — le dernier en date : digest_2026-08-07.md.</w:t>
      </w:r>
    </w:p>
    <w:p>
      <w:pPr>
        <w:spacing w:before="140"/>
      </w:pPr>
    </w:p>
    <w:p>
      <w:pPr>
        <w:spacing w:after="160" w:line="300"/>
      </w:pPr>
      <w:r>
        <w:rPr>
          <w:rFonts w:ascii="Calibri" w:cs="Calibri" w:eastAsia="Calibri" w:hAnsi="Calibri"/>
          <w:b w:val="false"/>
          <w:bCs w:val="false"/>
          <w:i/>
          <w:iCs/>
          <w:color w:val="222222"/>
          <w:sz w:val="21"/>
          <w:szCs w:val="21"/>
        </w:rPr>
        <w:t xml:space="preserve">Critère de sélection : une source est retenue si elle apporte soit un signal de rupture (nouvelle version, nouvelle méthode), soit un retour d'expérience transposable. Les sources purement promotionnelles sont écartées.</w:t>
      </w:r>
    </w:p>
    <w:p>
      <w:pPr>
        <w:pStyle w:val="Heading2"/>
        <w:spacing w:after="140" w:before="300"/>
      </w:pPr>
      <w:r>
        <w:rPr>
          <w:rFonts w:ascii="Calibri" w:cs="Calibri" w:eastAsia="Calibri" w:hAnsi="Calibri"/>
          <w:b/>
          <w:bCs/>
          <w:color w:val="134652"/>
          <w:sz w:val="24"/>
          <w:szCs w:val="24"/>
        </w:rPr>
        <w:t xml:space="preserve">Ce qui est automatisé</w:t>
      </w:r>
    </w:p>
    <w:p>
      <w:pPr>
        <w:pStyle w:val="ListParagraph"/>
        <w:numPr>
          <w:ilvl w:val="0"/>
          <w:numId w:val="1"/>
        </w:numPr>
        <w:spacing w:after="100" w:line="290"/>
      </w:pPr>
      <w:r>
        <w:rPr>
          <w:rFonts w:ascii="Calibri" w:cs="Calibri" w:eastAsia="Calibri" w:hAnsi="Calibri"/>
          <w:b/>
          <w:bCs/>
          <w:color w:val="222222"/>
          <w:sz w:val="21"/>
          <w:szCs w:val="21"/>
        </w:rPr>
        <w:t xml:space="preserve">sources.opml — </w:t>
      </w:r>
      <w:r>
        <w:rPr>
          <w:rFonts w:ascii="Calibri" w:cs="Calibri" w:eastAsia="Calibri" w:hAnsi="Calibri"/>
          <w:color w:val="222222"/>
          <w:sz w:val="21"/>
          <w:szCs w:val="21"/>
        </w:rPr>
        <w:t xml:space="preserve">la liste des 11 flux au format OPML standard, importable telle quelle dans n'importe quel lecteur RSS (Feedly, NetNewsWire, Thunderbird).</w:t>
      </w:r>
    </w:p>
    <w:p>
      <w:pPr>
        <w:pStyle w:val="ListParagraph"/>
        <w:numPr>
          <w:ilvl w:val="0"/>
          <w:numId w:val="1"/>
        </w:numPr>
        <w:spacing w:after="100" w:line="290"/>
      </w:pPr>
      <w:r>
        <w:rPr>
          <w:rFonts w:ascii="Calibri" w:cs="Calibri" w:eastAsia="Calibri" w:hAnsi="Calibri"/>
          <w:b/>
          <w:bCs/>
          <w:color w:val="222222"/>
          <w:sz w:val="21"/>
          <w:szCs w:val="21"/>
        </w:rPr>
        <w:t xml:space="preserve">veille.py — </w:t>
      </w:r>
      <w:r>
        <w:rPr>
          <w:rFonts w:ascii="Calibri" w:cs="Calibri" w:eastAsia="Calibri" w:hAnsi="Calibri"/>
          <w:color w:val="222222"/>
          <w:sz w:val="21"/>
          <w:szCs w:val="21"/>
        </w:rPr>
        <w:t xml:space="preserve">interroge tous les flux, filtre les entrées sur un dictionnaire de mots-clés pondérés, et produit un digest Markdown daté et trié par pertinence. Aucune dépendance externe : bibliothèque standard Python uniquement.</w:t>
      </w:r>
    </w:p>
    <w:p>
      <w:pPr>
        <w:pStyle w:val="ListParagraph"/>
        <w:numPr>
          <w:ilvl w:val="0"/>
          <w:numId w:val="1"/>
        </w:numPr>
        <w:spacing w:after="100" w:line="290"/>
      </w:pPr>
      <w:r>
        <w:rPr>
          <w:rFonts w:ascii="Calibri" w:cs="Calibri" w:eastAsia="Calibri" w:hAnsi="Calibri"/>
          <w:b/>
          <w:bCs/>
          <w:color w:val="222222"/>
          <w:sz w:val="21"/>
          <w:szCs w:val="21"/>
        </w:rPr>
        <w:t xml:space="preserve">Planification hebdomadaire — </w:t>
      </w:r>
      <w:r>
        <w:rPr>
          <w:rFonts w:ascii="Calibri" w:cs="Calibri" w:eastAsia="Calibri" w:hAnsi="Calibri"/>
          <w:color w:val="222222"/>
          <w:sz w:val="21"/>
          <w:szCs w:val="21"/>
        </w:rPr>
        <w:t xml:space="preserve">une tâche cron exécute le script tous les lundis à 8 h et dépose le digest de la semaine dans le dossier. Les digests datés successifs constituent la trace de la veille dans le temps.</w:t>
      </w:r>
    </w:p>
    <w:p>
      <w:pPr>
        <w:spacing w:after="160" w:line="300"/>
      </w:pPr>
      <w:r>
        <w:rPr>
          <w:rFonts w:ascii="Calibri" w:cs="Calibri" w:eastAsia="Calibri" w:hAnsi="Calibri"/>
          <w:b w:val="false"/>
          <w:bCs w:val="false"/>
          <w:i w:val="false"/>
          <w:iCs w:val="false"/>
          <w:color w:val="222222"/>
          <w:sz w:val="21"/>
          <w:szCs w:val="21"/>
        </w:rPr>
        <w:t xml:space="preserve">Le filtrage ne se limite pas à « contient le mot » : chaque mot-clé porte un poids (isolation forest = 4, pandas = 2, pipeline = 1) et le score d'une entrée est la somme des poids trouvés dans son titre et son résumé. Le digest est trié par ce score, ce qui fait remonter en premier ce qui touche le cœur du périmètre.</w:t>
      </w:r>
    </w:p>
    <w:p>
      <w:pPr>
        <w:pStyle w:val="Heading2"/>
        <w:spacing w:after="140" w:before="300"/>
      </w:pPr>
      <w:r>
        <w:rPr>
          <w:rFonts w:ascii="Calibri" w:cs="Calibri" w:eastAsia="Calibri" w:hAnsi="Calibri"/>
          <w:b/>
          <w:bCs/>
          <w:color w:val="134652"/>
          <w:sz w:val="24"/>
          <w:szCs w:val="24"/>
        </w:rPr>
        <w:t xml:space="preserve">Limites assumées du dispositif</w:t>
      </w:r>
    </w:p>
    <w:p>
      <w:pPr>
        <w:pStyle w:val="ListParagraph"/>
        <w:numPr>
          <w:ilvl w:val="0"/>
          <w:numId w:val="1"/>
        </w:numPr>
        <w:spacing w:after="100" w:line="290"/>
      </w:pPr>
      <w:r>
        <w:rPr>
          <w:rFonts w:ascii="Calibri" w:cs="Calibri" w:eastAsia="Calibri" w:hAnsi="Calibri"/>
          <w:color w:val="222222"/>
          <w:sz w:val="21"/>
          <w:szCs w:val="21"/>
        </w:rPr>
        <w:t xml:space="preserve">Les alertes par mots-clés renvoient des résultats classés par pertinence et non par date : peu d'entrées « récentes » peuvent apparaître sur ces sources. C'est le comportement de Google News, pas un défaut du script.</w:t>
      </w:r>
    </w:p>
    <w:p>
      <w:pPr>
        <w:pStyle w:val="ListParagraph"/>
        <w:numPr>
          <w:ilvl w:val="0"/>
          <w:numId w:val="1"/>
        </w:numPr>
        <w:spacing w:after="100" w:line="290"/>
      </w:pPr>
      <w:r>
        <w:rPr>
          <w:rFonts w:ascii="Calibri" w:cs="Calibri" w:eastAsia="Calibri" w:hAnsi="Calibri"/>
          <w:color w:val="222222"/>
          <w:sz w:val="21"/>
          <w:szCs w:val="21"/>
        </w:rPr>
        <w:t xml:space="preserve">Une source est inaccessible aux robots (Power BI blog, HTTP 403) : elle reste déclarée dans l'OPML et suivie manuellement, et le digest l'indique explicitement.</w:t>
      </w:r>
    </w:p>
    <w:p>
      <w:pPr>
        <w:pStyle w:val="ListParagraph"/>
        <w:numPr>
          <w:ilvl w:val="0"/>
          <w:numId w:val="1"/>
        </w:numPr>
        <w:spacing w:after="100" w:line="290"/>
      </w:pPr>
      <w:r>
        <w:rPr>
          <w:rFonts w:ascii="Calibri" w:cs="Calibri" w:eastAsia="Calibri" w:hAnsi="Calibri"/>
          <w:color w:val="222222"/>
          <w:sz w:val="21"/>
          <w:szCs w:val="21"/>
        </w:rPr>
        <w:t xml:space="preserve">Le filtrage par mots-clés reste littéral : une méthode nouvelle décrite avec un vocabulaire inattendu passera au travers. C'est pourquoi la lecture directe du flux arXiv reste hebdomadaire, en complément du digest.</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63"/>
        <w:sz w:val="15"/>
        <w:szCs w:val="15"/>
      </w:rPr>
      <w:t xml:space="preserve">Kawtar Belkacemi · Data Analyst — OpenClassrooms · </w:t>
    </w:r>
    <w:r>
      <w:rPr>
        <w:rFonts w:ascii="Calibri" w:cs="Calibri" w:eastAsia="Calibri" w:hAnsi="Calibri"/>
        <w:color w:val="5B5F63"/>
        <w:sz w:val="15"/>
        <w:szCs w:val="15"/>
      </w:rPr>
      <w:t xml:space="preserve">Page </w:t>
    </w:r>
    <w:r>
      <w:rPr>
        <w:rFonts w:ascii="Calibri" w:cs="Calibri" w:eastAsia="Calibri" w:hAnsi="Calibri"/>
        <w:color w:val="5B5F63"/>
        <w:sz w:val="15"/>
        <w:szCs w:val="15"/>
      </w:rPr>
      <w:fldChar w:fldCharType="begin"/>
      <w:instrText xml:space="preserve">PAGE</w:instrText>
      <w:fldChar w:fldCharType="separate"/>
      <w:fldChar w:fldCharType="end"/>
    </w:r>
    <w:r>
      <w:rPr>
        <w:rFonts w:ascii="Calibri" w:cs="Calibri" w:eastAsia="Calibri" w:hAnsi="Calibri"/>
        <w:color w:val="5B5F63"/>
        <w:sz w:val="15"/>
        <w:szCs w:val="15"/>
      </w:rPr>
      <w:t xml:space="preserve"> / </w:t>
    </w:r>
    <w:r>
      <w:rPr>
        <w:rFonts w:ascii="Calibri" w:cs="Calibri" w:eastAsia="Calibri" w:hAnsi="Calibri"/>
        <w:color w:val="5B5F6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B" w:sz="4" w:space="4"/>
      </w:pBdr>
      <w:tabs>
        <w:tab w:val="right" w:pos="9026"/>
      </w:tabs>
    </w:pPr>
    <w:r>
      <w:rPr>
        <w:rFonts w:ascii="Calibri" w:cs="Calibri" w:eastAsia="Calibri" w:hAnsi="Calibri"/>
        <w:color w:val="5B5F63"/>
        <w:sz w:val="15"/>
        <w:szCs w:val="15"/>
      </w:rPr>
      <w:t xml:space="preserve">BOTTLENECK — Mission 1 Partie 1</w:t>
    </w:r>
    <w:r>
      <w:rPr>
        <w:rFonts w:ascii="Calibri" w:cs="Calibri" w:eastAsia="Calibri" w:hAnsi="Calibri"/>
        <w:b/>
        <w:bCs/>
        <w:color w:val="1F7A8C"/>
        <w:sz w:val="15"/>
        <w:szCs w:val="15"/>
      </w:rPr>
      <w:t xml:space="preserve">	veille_technologique.docx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74eca474dd8a616ddbef8dfd1a72991911a2f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2026-08-08T11:59:34.006Z</dcterms:created>
  <dcterms:modified xsi:type="dcterms:W3CDTF">2026-08-08T11:59:34.011Z</dcterms:modified>
</cp:coreProperties>
</file>

<file path=docProps/custom.xml><?xml version="1.0" encoding="utf-8"?>
<Properties xmlns="http://schemas.openxmlformats.org/officeDocument/2006/custom-properties" xmlns:vt="http://schemas.openxmlformats.org/officeDocument/2006/docPropsVTypes"/>
</file>