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Calibri" w:cs="Calibri" w:eastAsia="Calibri" w:hAnsi="Calibri"/>
          <w:b/>
          <w:bCs/>
          <w:color w:val="E8622C"/>
          <w:spacing w:val="20"/>
          <w:sz w:val="20"/>
          <w:szCs w:val="20"/>
        </w:rPr>
        <w:t xml:space="preserve">ÉTAPE 3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34652"/>
          <w:sz w:val="52"/>
          <w:szCs w:val="52"/>
        </w:rPr>
        <w:t xml:space="preserve">Organisation du projet</w:t>
      </w:r>
    </w:p>
    <w:p>
      <w:pPr>
        <w:pBdr>
          <w:bottom w:val="single" w:color="1F7A8C" w:sz="12" w:space="12"/>
        </w:pBdr>
        <w:spacing w:after="260"/>
      </w:pPr>
      <w:r>
        <w:rPr>
          <w:rFonts w:ascii="Calibri" w:cs="Calibri" w:eastAsia="Calibri" w:hAnsi="Calibri"/>
          <w:i/>
          <w:iCs/>
          <w:color w:val="5B5F63"/>
          <w:sz w:val="24"/>
          <w:szCs w:val="24"/>
        </w:rPr>
        <w:t xml:space="preserve">Lots, backlog, planning et registre des risques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34652"/>
          <w:sz w:val="18"/>
          <w:szCs w:val="18"/>
        </w:rPr>
        <w:t xml:space="preserve">BOTTLENECK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·  Mission 1 — Partie 1  ·  Amélioration critique du livrable Projet 6</w:t>
      </w:r>
    </w:p>
    <w:p>
      <w:pPr>
        <w:spacing w:after="480"/>
      </w:pPr>
      <w:r>
        <w:rPr>
          <w:rFonts w:ascii="Calibri" w:cs="Calibri" w:eastAsia="Calibri" w:hAnsi="Calibri"/>
          <w:color w:val="5B5F63"/>
          <w:sz w:val="18"/>
          <w:szCs w:val="18"/>
        </w:rPr>
        <w:t xml:space="preserve">Kawtar Belkacemi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 ·   Formation Data Analyst — OpenClassrooms   ·   Juillet 2026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1. Découpage en lots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2400"/>
        <w:gridCol w:w="4600"/>
        <w:gridCol w:w="2620"/>
      </w:tblGrid>
      <w:tr>
        <w:trPr>
          <w:tblHeader/>
        </w:trPr>
        <w:tc>
          <w:tcPr>
            <w:tcW w:type="dxa" w:w="24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</w:t>
            </w:r>
          </w:p>
        </w:tc>
        <w:tc>
          <w:tcPr>
            <w:tcW w:type="dxa" w:w="46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Objectif</w:t>
            </w:r>
          </w:p>
        </w:tc>
        <w:tc>
          <w:tcPr>
            <w:tcW w:type="dxa" w:w="26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Livrable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0 — Cadrage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Définir le besoin de veille et le périmètre fonctionnel avant toute implémentation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Veille technologique, cahier des charges</w:t>
            </w:r>
          </w:p>
        </w:tc>
      </w:tr>
      <w:t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1 — Data audit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Auditer la qualité des 3 sources : doublons, valeurs manquantes/négatives, cohérence des jointures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Étapes 2-3 du notebook (V1, conservées)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2 — EDA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Analyser prix, CA, quantités, marge et rotation de stock en univarié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Étapes 4.1, 5.1-5.4 du notebook (conservées)</w:t>
            </w:r>
          </w:p>
        </w:tc>
      </w:tr>
      <w:t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3 — Analyse avancée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Enrichir l'analyse univariée par une détection d'anomalies multivariée et une validation statistique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Notebook V2, Étapes 4.3 et 5.5bis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4 — Validation technique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Corriger la portabilité, éliminer le code mort, exécuter le notebook sans erreur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Notebook V2 exécuté (Run All)</w:t>
            </w:r>
          </w:p>
        </w:tc>
      </w:tr>
      <w:t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5 — Restitution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Documenter les choix, les limites et produire une synthèse exploitable en soutenance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README, PROJET_ORGANISATION</w:t>
            </w:r>
          </w:p>
        </w:tc>
      </w:tr>
    </w:tbl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2. Backlog de tâches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3400"/>
        <w:gridCol w:w="1000"/>
        <w:gridCol w:w="1500"/>
        <w:gridCol w:w="2620"/>
        <w:gridCol w:w="1100"/>
      </w:tblGrid>
      <w:tr>
        <w:trPr>
          <w:tblHeader/>
        </w:trPr>
        <w:tc>
          <w:tcPr>
            <w:tcW w:type="dxa" w:w="34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0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Charge</w:t>
            </w:r>
          </w:p>
        </w:tc>
        <w:tc>
          <w:tcPr>
            <w:tcW w:type="dxa" w:w="15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Dépendances</w:t>
            </w:r>
          </w:p>
        </w:tc>
        <w:tc>
          <w:tcPr>
            <w:tcW w:type="dxa" w:w="26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Définition de "Done"</w:t>
            </w:r>
          </w:p>
        </w:tc>
        <w:tc>
          <w:tcPr>
            <w:tcW w:type="dxa" w:w="11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Analyser le notebook V1 et lister ses limites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Limites identifiées et sourcées par référence au code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la veille technologique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 V1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Tableau de critères et décision argumentée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le cahier des charges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 V1, veille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 complet, chiffres réels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Créer la copie V2, corriger les chemins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15 min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Plus aucun chemin absolu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Éliminer le code mort (valorisation stock)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15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Copie V2 créée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Ligne redondante supprimée, résultat inchangé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Implémenter la section Isolation Forest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2h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Copie V2, veille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Section exécutable, recouvrement calculé et visualisé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Implémenter les tests de significativité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Copie V2, heatmap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 Pearson + Spearman + p-value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Ajouter la cellule de résumé V1 → V2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15 min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Sections V2 en place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Cellule markdown en tête de notebook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Diagnostiquer et corriger un bug de formatage bloquant l'exécution (17 cellules)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45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 cellule en erreur sur un Run All complet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Environnement Python reproductible + exécution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30 min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Bug corrigé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nbconvert --execute termine sans erreur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Extraire les résultats numériques réels et corriger les écarts avec le brouillon initial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30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Exécution réussie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Chiffres reportés dans README, cohérents avec les sorties du notebook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PROJET_ORGANISATION.md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Lots et backlog définis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 complet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README.md final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Résultats numériques disponibles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Traçabilité, limites, synthèse avec chiffres réels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Explorer LOF (itération future)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2h (estimé)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Résultats Isolation Forest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Non démarré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🔲 À faire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Test automatisé sur la valorisation stock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30 min (estimé)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Notebook V2 stabilisé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Non démarré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🔲 À faire</w:t>
            </w:r>
          </w:p>
        </w:tc>
      </w:tr>
    </w:tbl>
    <w:p>
      <w:pPr>
        <w:spacing w:before="200"/>
      </w:pP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Charge totale réalisée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~12h.  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Charge restante (itération future)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~2h30.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3. Planning et jalons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2600"/>
        <w:gridCol w:w="3800"/>
        <w:gridCol w:w="3220"/>
      </w:tblGrid>
      <w:tr>
        <w:trPr>
          <w:tblHeader/>
        </w:trPr>
        <w:tc>
          <w:tcPr>
            <w:tcW w:type="dxa" w:w="26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Jalon</w:t>
            </w:r>
          </w:p>
        </w:tc>
        <w:tc>
          <w:tcPr>
            <w:tcW w:type="dxa" w:w="38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32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 de contrôle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J1 — Cadrage validé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Veille technologique + cahier des charges rédigés</w:t>
            </w:r>
          </w:p>
        </w:tc>
        <w:tc>
          <w:tcPr>
            <w:tcW w:type="dxa" w:w="32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Cohérence entre besoin de veille et limites observées dans le code V1</w:t>
            </w:r>
          </w:p>
        </w:tc>
      </w:tr>
      <w:tr>
        <w:tc>
          <w:tcPr>
            <w:tcW w:type="dxa" w:w="2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J2 — Notebook V2 fonctionnellement complet</w:t>
            </w:r>
          </w:p>
        </w:tc>
        <w:tc>
          <w:tcPr>
            <w:tcW w:type="dxa" w:w="38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Corrections de portabilité, suppression du code mort, deux nouvelles sections ajoutées</w:t>
            </w:r>
          </w:p>
        </w:tc>
        <w:tc>
          <w:tcPr>
            <w:tcW w:type="dxa" w:w="32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Toutes les sections/conclusions V1 conservées à l'identique (diff V1/V2)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J3 — Notebook V2 validé techniquement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Exécution complète (Run All) sans erreur, environnement reproductible</w:t>
            </w:r>
          </w:p>
        </w:tc>
        <w:tc>
          <w:tcPr>
            <w:tcW w:type="dxa" w:w="32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Zéro cellule en erreur, chemins relatifs, valorisation vérifiée sur purchase_price</w:t>
            </w:r>
          </w:p>
        </w:tc>
      </w:tr>
      <w:tr>
        <w:tc>
          <w:tcPr>
            <w:tcW w:type="dxa" w:w="2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J4 — Documentation livrée</w:t>
            </w:r>
          </w:p>
        </w:tc>
        <w:tc>
          <w:tcPr>
            <w:tcW w:type="dxa" w:w="38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PROJET_ORGANISATION et README finalisés avec chiffres réels</w:t>
            </w:r>
          </w:p>
        </w:tc>
        <w:tc>
          <w:tcPr>
            <w:tcW w:type="dxa" w:w="32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Cohérence des chiffres entre le notebook exécuté et les documents</w:t>
            </w:r>
          </w:p>
        </w:tc>
      </w:tr>
    </w:tbl>
    <w:p>
      <w:pPr>
        <w:spacing w:before="200"/>
      </w:pP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Versioning : le notebook original n'est jamais modifié ; toute évolution se fait exclusivement sur la copie V2, ce qui permet une comparaison avant/après directe à tout moment, y compris pendant la soutenance.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4. Registre des risques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4200"/>
        <w:gridCol w:w="1200"/>
        <w:gridCol w:w="1200"/>
        <w:gridCol w:w="3020"/>
      </w:tblGrid>
      <w:tr>
        <w:trPr>
          <w:tblHeader/>
        </w:trPr>
        <w:tc>
          <w:tcPr>
            <w:tcW w:type="dxa" w:w="4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Risque</w:t>
            </w:r>
          </w:p>
        </w:tc>
        <w:tc>
          <w:tcPr>
            <w:tcW w:type="dxa" w:w="1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Proba.</w:t>
            </w:r>
          </w:p>
        </w:tc>
        <w:tc>
          <w:tcPr>
            <w:tcW w:type="dxa" w:w="1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0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R1 — Taux de non-appariement (13,45 %) mal interprété comme une erreur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Chiffré et documenté explicitement dans le cahier des charges et le plan de formation</w:t>
            </w:r>
          </w:p>
        </w:tc>
      </w:tr>
      <w:t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R2 — Mauvais calibrage de contamination (Isolation Forest)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Calibrage objectif et traçable sur le taux IQR ; random_state figé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R3 — Confusion entre force et significativité d'une corrélation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 croisant coefficient et p-value, avec conclusion écrite explicite</w:t>
            </w:r>
          </w:p>
        </w:tc>
      </w:tr>
      <w:t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R4 — Isolation Forest ne détecte que des anomalies globales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 à 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Limite documentée ; piste LOF identifiée pour un prochain cycle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R5 — Référence à marge négative (-84 %) : possible erreur de saisie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Signalée explicitement ; validation manuelle recommandée par le contrôle de gestion</w:t>
            </w:r>
          </w:p>
        </w:tc>
      </w:tr>
      <w:t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R6 — Dépendance à un environnement Python configuré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 à moyen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Versions exactes consignées dans le README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R7 — Notebook non exécuté / corrompu silencieusement (sauts de ligne perdus dans le code généré)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Constatée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Détecté et corrigé lors de la relecture finale ; Run All systématique avant toute diffusion du livrable, à chaque modification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3"/>
        <w:sz w:val="15"/>
        <w:szCs w:val="15"/>
      </w:rPr>
      <w:t xml:space="preserve">Kawtar Belkacemi · Data Analyst — OpenClassrooms · </w:t>
    </w:r>
    <w:r>
      <w:rPr>
        <w:rFonts w:ascii="Calibri" w:cs="Calibri" w:eastAsia="Calibri" w:hAnsi="Calibri"/>
        <w:color w:val="5B5F63"/>
        <w:sz w:val="15"/>
        <w:szCs w:val="15"/>
      </w:rPr>
      <w:t xml:space="preserve">Page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3"/>
        <w:sz w:val="15"/>
        <w:szCs w:val="15"/>
      </w:rPr>
      <w:t xml:space="preserve"> /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8DB" w:sz="4" w:space="4"/>
      </w:pBdr>
      <w:tabs>
        <w:tab w:val="right" w:pos="9026"/>
      </w:tabs>
    </w:pPr>
    <w:r>
      <w:rPr>
        <w:rFonts w:ascii="Calibri" w:cs="Calibri" w:eastAsia="Calibri" w:hAnsi="Calibri"/>
        <w:color w:val="5B5F63"/>
        <w:sz w:val="15"/>
        <w:szCs w:val="15"/>
      </w:rPr>
      <w:t xml:space="preserve">BOTTLENECK — Mission 1 Partie 1</w:t>
    </w:r>
    <w:r>
      <w:rPr>
        <w:rFonts w:ascii="Calibri" w:cs="Calibri" w:eastAsia="Calibri" w:hAnsi="Calibri"/>
        <w:b/>
        <w:bCs/>
        <w:color w:val="1F7A8C"/>
        <w:sz w:val="15"/>
        <w:szCs w:val="15"/>
      </w:rPr>
      <w:t xml:space="preserve">	PROJET_ORGANISATION.docx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2026-08-05T08:38:03.097Z</dcterms:created>
  <dcterms:modified xsi:type="dcterms:W3CDTF">2026-08-05T08:38:03.097Z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