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pPr>
      <w:r>
        <w:rPr>
          <w:rFonts w:ascii="Calibri" w:cs="Calibri" w:eastAsia="Calibri" w:hAnsi="Calibri"/>
          <w:b/>
          <w:bCs/>
          <w:color w:val="E8622C"/>
          <w:spacing w:val="20"/>
          <w:sz w:val="20"/>
          <w:szCs w:val="20"/>
        </w:rPr>
        <w:t xml:space="preserve">ÉTAPE 4</w:t>
      </w:r>
    </w:p>
    <w:p>
      <w:pPr>
        <w:spacing w:after="120"/>
      </w:pPr>
      <w:r>
        <w:rPr>
          <w:rFonts w:ascii="Calibri" w:cs="Calibri" w:eastAsia="Calibri" w:hAnsi="Calibri"/>
          <w:b/>
          <w:bCs/>
          <w:color w:val="134652"/>
          <w:sz w:val="52"/>
          <w:szCs w:val="52"/>
        </w:rPr>
        <w:t xml:space="preserve">Documentation finale — README</w:t>
      </w:r>
    </w:p>
    <w:p>
      <w:pPr>
        <w:pBdr>
          <w:bottom w:val="single" w:color="1F7A8C" w:sz="12" w:space="12"/>
        </w:pBdr>
        <w:spacing w:after="260"/>
      </w:pPr>
      <w:r>
        <w:rPr>
          <w:rFonts w:ascii="Calibri" w:cs="Calibri" w:eastAsia="Calibri" w:hAnsi="Calibri"/>
          <w:i/>
          <w:iCs/>
          <w:color w:val="5B5F63"/>
          <w:sz w:val="24"/>
          <w:szCs w:val="24"/>
        </w:rPr>
        <w:t xml:space="preserve">Traçabilité, justifications, résultats, limites et reproductibilité</w:t>
      </w:r>
    </w:p>
    <w:p>
      <w:pPr>
        <w:spacing w:after="40"/>
      </w:pPr>
      <w:r>
        <w:rPr>
          <w:rFonts w:ascii="Calibri" w:cs="Calibri" w:eastAsia="Calibri" w:hAnsi="Calibri"/>
          <w:b/>
          <w:bCs/>
          <w:color w:val="134652"/>
          <w:sz w:val="18"/>
          <w:szCs w:val="18"/>
        </w:rPr>
        <w:t xml:space="preserve">BOTTLENECK</w:t>
      </w:r>
      <w:r>
        <w:rPr>
          <w:rFonts w:ascii="Calibri" w:cs="Calibri" w:eastAsia="Calibri" w:hAnsi="Calibri"/>
          <w:color w:val="5B5F63"/>
          <w:sz w:val="18"/>
          <w:szCs w:val="18"/>
        </w:rPr>
        <w:t xml:space="preserve">  ·  Mission 1 — Partie 1  ·  Amélioration critique du livrable Projet 6</w:t>
      </w:r>
    </w:p>
    <w:p>
      <w:pPr>
        <w:spacing w:after="480"/>
      </w:pPr>
      <w:r>
        <w:rPr>
          <w:rFonts w:ascii="Calibri" w:cs="Calibri" w:eastAsia="Calibri" w:hAnsi="Calibri"/>
          <w:color w:val="5B5F63"/>
          <w:sz w:val="18"/>
          <w:szCs w:val="18"/>
        </w:rPr>
        <w:t xml:space="preserve">Kawtar Belkacemi</w:t>
      </w:r>
      <w:r>
        <w:rPr>
          <w:rFonts w:ascii="Calibri" w:cs="Calibri" w:eastAsia="Calibri" w:hAnsi="Calibri"/>
          <w:color w:val="5B5F63"/>
          <w:sz w:val="18"/>
          <w:szCs w:val="18"/>
        </w:rPr>
        <w:t xml:space="preserve">   ·   Formation Data Analyst — OpenClassrooms   ·   Juillet 2026</w:t>
      </w:r>
    </w:p>
    <w:p>
      <w:pPr>
        <w:pStyle w:val="Heading1"/>
        <w:pBdr>
          <w:bottom w:val="single" w:color="1F7A8C" w:sz="6" w:space="6"/>
        </w:pBdr>
        <w:spacing w:after="200" w:before="420"/>
      </w:pPr>
      <w:r>
        <w:rPr>
          <w:rFonts w:ascii="Calibri" w:cs="Calibri" w:eastAsia="Calibri" w:hAnsi="Calibri"/>
          <w:b/>
          <w:bCs/>
          <w:color w:val="134652"/>
          <w:sz w:val="30"/>
          <w:szCs w:val="30"/>
        </w:rPr>
        <w:t xml:space="preserve">1. Fichiers du projet</w:t>
      </w:r>
    </w:p>
    <w:tbl>
      <w:tblPr>
        <w:tblW w:type="dxa" w:w="9648"/>
        <w:tblBorders>
          <w:top w:val="single" w:color="D5D8DB" w:sz="4"/>
          <w:left w:val="single" w:color="D5D8DB" w:sz="4"/>
          <w:bottom w:val="single" w:color="D5D8DB" w:sz="4"/>
          <w:right w:val="single" w:color="D5D8DB" w:sz="4"/>
          <w:insideH w:val="single" w:color="D5D8DB" w:sz="4"/>
          <w:insideV w:val="single" w:color="D5D8DB" w:sz="4"/>
        </w:tblBorders>
      </w:tblPr>
      <w:tblGrid>
        <w:gridCol w:w="4400"/>
        <w:gridCol w:w="5220"/>
      </w:tblGrid>
      <w:tr>
        <w:trPr>
          <w:tblHeader/>
        </w:trPr>
        <w:tc>
          <w:tcPr>
            <w:tcW w:type="dxa" w:w="4400"/>
            <w:shd w:fill="134652" w:color="auto" w:val="clear"/>
            <w:tcMar>
              <w:top w:type="dxa" w:w="90"/>
              <w:left w:type="dxa" w:w="130"/>
              <w:bottom w:type="dxa" w:w="90"/>
              <w:right w:type="dxa" w:w="130"/>
            </w:tcMar>
            <w:vAlign w:val="center"/>
          </w:tcPr>
          <w:p>
            <w:r>
              <w:rPr>
                <w:rFonts w:ascii="Calibri" w:cs="Calibri" w:eastAsia="Calibri" w:hAnsi="Calibri"/>
                <w:b/>
                <w:bCs/>
                <w:color w:val="FFFFFF"/>
                <w:sz w:val="19"/>
                <w:szCs w:val="19"/>
              </w:rPr>
              <w:t xml:space="preserve">Fichier</w:t>
            </w:r>
          </w:p>
        </w:tc>
        <w:tc>
          <w:tcPr>
            <w:tcW w:type="dxa" w:w="5220"/>
            <w:shd w:fill="134652" w:color="auto" w:val="clear"/>
            <w:tcMar>
              <w:top w:type="dxa" w:w="90"/>
              <w:left w:type="dxa" w:w="130"/>
              <w:bottom w:type="dxa" w:w="90"/>
              <w:right w:type="dxa" w:w="130"/>
            </w:tcMar>
            <w:vAlign w:val="center"/>
          </w:tcPr>
          <w:p>
            <w:r>
              <w:rPr>
                <w:rFonts w:ascii="Calibri" w:cs="Calibri" w:eastAsia="Calibri" w:hAnsi="Calibri"/>
                <w:b/>
                <w:bCs/>
                <w:color w:val="FFFFFF"/>
                <w:sz w:val="19"/>
                <w:szCs w:val="19"/>
              </w:rPr>
              <w:t xml:space="preserve">Rôle</w:t>
            </w:r>
          </w:p>
        </w:tc>
      </w:tr>
      <w:tr>
        <w:tc>
          <w:tcPr>
            <w:tcW w:type="dxa" w:w="4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Belkacemi_Kawtar_1_notebook_052025.ipynb</w:t>
            </w:r>
          </w:p>
        </w:tc>
        <w:tc>
          <w:tcPr>
            <w:tcW w:type="dxa" w:w="5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Notebook original, non modifié (conservé pour comparaison avant/après)</w:t>
            </w:r>
          </w:p>
        </w:tc>
      </w:tr>
      <w:tr>
        <w:tc>
          <w:tcPr>
            <w:tcW w:type="dxa" w:w="44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Belkacemi_Kawtar_1_notebook_V2_AMELIORE.ipynb</w:t>
            </w:r>
          </w:p>
        </w:tc>
        <w:tc>
          <w:tcPr>
            <w:tcW w:type="dxa" w:w="52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Notebook V2, exécuté intégralement (Run All), sans erreur</w:t>
            </w:r>
          </w:p>
        </w:tc>
      </w:tr>
      <w:tr>
        <w:tc>
          <w:tcPr>
            <w:tcW w:type="dxa" w:w="4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erp.xlsx, web.xlsx, liaison.xlsx</w:t>
            </w:r>
          </w:p>
        </w:tc>
        <w:tc>
          <w:tcPr>
            <w:tcW w:type="dxa" w:w="5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Fichiers sources (à la racine, requis pour l'exécution en chemin relatif)</w:t>
            </w:r>
          </w:p>
        </w:tc>
      </w:tr>
      <w:tr>
        <w:tc>
          <w:tcPr>
            <w:tcW w:type="dxa" w:w="44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veille_technologique.docx</w:t>
            </w:r>
          </w:p>
        </w:tc>
        <w:tc>
          <w:tcPr>
            <w:tcW w:type="dxa" w:w="52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Étape 1 — besoin de veille, solutions comparées, décision</w:t>
            </w:r>
          </w:p>
        </w:tc>
      </w:tr>
      <w:tr>
        <w:tc>
          <w:tcPr>
            <w:tcW w:type="dxa" w:w="4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cahier_des_charges.docx</w:t>
            </w:r>
          </w:p>
        </w:tc>
        <w:tc>
          <w:tcPr>
            <w:tcW w:type="dxa" w:w="5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Étape 2 — périmètre, contraintes, KPI, plan de formation</w:t>
            </w:r>
          </w:p>
        </w:tc>
      </w:tr>
      <w:tr>
        <w:tc>
          <w:tcPr>
            <w:tcW w:type="dxa" w:w="44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PROJET_ORGANISATION.docx</w:t>
            </w:r>
          </w:p>
        </w:tc>
        <w:tc>
          <w:tcPr>
            <w:tcW w:type="dxa" w:w="52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Étape 3 — lots, backlog, planning, registre des risques</w:t>
            </w:r>
          </w:p>
        </w:tc>
      </w:tr>
      <w:tr>
        <w:tc>
          <w:tcPr>
            <w:tcW w:type="dxa" w:w="4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README.docx</w:t>
            </w:r>
          </w:p>
        </w:tc>
        <w:tc>
          <w:tcPr>
            <w:tcW w:type="dxa" w:w="5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Étape 4 — présent document</w:t>
            </w:r>
          </w:p>
        </w:tc>
      </w:tr>
    </w:tbl>
    <w:p>
      <w:pPr>
        <w:pStyle w:val="Heading1"/>
        <w:pBdr>
          <w:bottom w:val="single" w:color="1F7A8C" w:sz="6" w:space="6"/>
        </w:pBdr>
        <w:spacing w:after="200" w:before="420"/>
      </w:pPr>
      <w:r>
        <w:rPr>
          <w:rFonts w:ascii="Calibri" w:cs="Calibri" w:eastAsia="Calibri" w:hAnsi="Calibri"/>
          <w:b/>
          <w:bCs/>
          <w:color w:val="134652"/>
          <w:sz w:val="30"/>
          <w:szCs w:val="30"/>
        </w:rPr>
        <w:t xml:space="preserve">2. Traçabilité des choix</w:t>
      </w:r>
    </w:p>
    <w:p>
      <w:pPr>
        <w:spacing w:after="160" w:line="300"/>
      </w:pPr>
      <w:r>
        <w:rPr>
          <w:rFonts w:ascii="Calibri" w:cs="Calibri" w:eastAsia="Calibri" w:hAnsi="Calibri"/>
          <w:b w:val="false"/>
          <w:bCs w:val="false"/>
          <w:i w:val="false"/>
          <w:iCs w:val="false"/>
          <w:color w:val="222222"/>
          <w:sz w:val="21"/>
          <w:szCs w:val="21"/>
        </w:rPr>
        <w:t xml:space="preserve">Trois solutions de détection d'anomalies multivariées ont été comparées : Isolation Forest, Local Outlier Factor et One-Class SVM (détail en Étape 1).</w:t>
      </w:r>
    </w:p>
    <w:p>
      <w:pPr>
        <w:pStyle w:val="ListParagraph"/>
        <w:numPr>
          <w:ilvl w:val="0"/>
          <w:numId w:val="1"/>
        </w:numPr>
        <w:spacing w:after="100" w:line="290"/>
      </w:pPr>
      <w:r>
        <w:rPr>
          <w:rFonts w:ascii="Calibri" w:cs="Calibri" w:eastAsia="Calibri" w:hAnsi="Calibri"/>
          <w:b/>
          <w:bCs/>
          <w:color w:val="222222"/>
          <w:sz w:val="21"/>
          <w:szCs w:val="21"/>
        </w:rPr>
        <w:t xml:space="preserve">Retenu — Isolation Forest : </w:t>
      </w:r>
      <w:r>
        <w:rPr>
          <w:rFonts w:ascii="Calibri" w:cs="Calibri" w:eastAsia="Calibri" w:hAnsi="Calibri"/>
          <w:color w:val="222222"/>
          <w:sz w:val="21"/>
          <w:szCs w:val="21"/>
        </w:rPr>
        <w:t xml:space="preserve">un seul hyperparamètre réellement décisif (contamination), calibrable objectivement sur le taux d'outliers déjà connu par l'IQR, coût de calcul quasi-linéaire, résultat reproductible (random_state=42).</w:t>
      </w:r>
    </w:p>
    <w:p>
      <w:pPr>
        <w:pStyle w:val="ListParagraph"/>
        <w:numPr>
          <w:ilvl w:val="0"/>
          <w:numId w:val="1"/>
        </w:numPr>
        <w:spacing w:after="100" w:line="290"/>
      </w:pPr>
      <w:r>
        <w:rPr>
          <w:rFonts w:ascii="Calibri" w:cs="Calibri" w:eastAsia="Calibri" w:hAnsi="Calibri"/>
          <w:b/>
          <w:bCs/>
          <w:color w:val="222222"/>
          <w:sz w:val="21"/>
          <w:szCs w:val="21"/>
        </w:rPr>
        <w:t xml:space="preserve">Écarté — Local Outlier Factor : </w:t>
      </w:r>
      <w:r>
        <w:rPr>
          <w:rFonts w:ascii="Calibri" w:cs="Calibri" w:eastAsia="Calibri" w:hAnsi="Calibri"/>
          <w:color w:val="222222"/>
          <w:sz w:val="21"/>
          <w:szCs w:val="21"/>
        </w:rPr>
        <w:t xml:space="preserve">pertinent pour des anomalies locales par sous-famille de produits, mais plus coûteux en calcul et plus difficile à justifier en soutenance. Conservé comme piste d'itération (risque R4).</w:t>
      </w:r>
    </w:p>
    <w:p>
      <w:pPr>
        <w:pStyle w:val="ListParagraph"/>
        <w:numPr>
          <w:ilvl w:val="0"/>
          <w:numId w:val="1"/>
        </w:numPr>
        <w:spacing w:after="100" w:line="290"/>
      </w:pPr>
      <w:r>
        <w:rPr>
          <w:rFonts w:ascii="Calibri" w:cs="Calibri" w:eastAsia="Calibri" w:hAnsi="Calibri"/>
          <w:b/>
          <w:bCs/>
          <w:color w:val="222222"/>
          <w:sz w:val="21"/>
          <w:szCs w:val="21"/>
        </w:rPr>
        <w:t xml:space="preserve">Écarté — One-Class SVM : </w:t>
      </w:r>
      <w:r>
        <w:rPr>
          <w:rFonts w:ascii="Calibri" w:cs="Calibri" w:eastAsia="Calibri" w:hAnsi="Calibri"/>
          <w:color w:val="222222"/>
          <w:sz w:val="21"/>
          <w:szCs w:val="21"/>
        </w:rPr>
        <w:t xml:space="preserve">trop sensible aux hyperparamètres nu/gamma, nécessite un jeu d'apprentissage supposé "propre", non garanti sur ce catalogue.</w:t>
      </w:r>
    </w:p>
    <w:p>
      <w:pPr>
        <w:spacing w:after="160" w:line="300"/>
      </w:pPr>
      <w:r>
        <w:rPr>
          <w:rFonts w:ascii="Calibri" w:cs="Calibri" w:eastAsia="Calibri" w:hAnsi="Calibri"/>
          <w:b w:val="false"/>
          <w:bCs w:val="false"/>
          <w:i w:val="false"/>
          <w:iCs w:val="false"/>
          <w:color w:val="222222"/>
          <w:sz w:val="21"/>
          <w:szCs w:val="21"/>
        </w:rPr>
        <w:t xml:space="preserve">Pour la validation des corrélations, Pearson et Spearman ont été retenus tous les deux : Pearson reste cohérent avec le coefficient déjà affiché par DataFrame.corr() dans la heatmap existante, Spearman capture en complément les relations monotones non linéaires — choix payant à l'exécution (voir §4, écart Pearson/Spearman sur stock_quantity vs purchase_price).</w:t>
      </w:r>
    </w:p>
    <w:p>
      <w:pPr>
        <w:pStyle w:val="Heading1"/>
        <w:pBdr>
          <w:bottom w:val="single" w:color="1F7A8C" w:sz="6" w:space="6"/>
        </w:pBdr>
        <w:spacing w:after="200" w:before="420"/>
      </w:pPr>
      <w:r>
        <w:rPr>
          <w:rFonts w:ascii="Calibri" w:cs="Calibri" w:eastAsia="Calibri" w:hAnsi="Calibri"/>
          <w:b/>
          <w:bCs/>
          <w:color w:val="134652"/>
          <w:sz w:val="30"/>
          <w:szCs w:val="30"/>
        </w:rPr>
        <w:t xml:space="preserve">3. Justifications techniques</w:t>
      </w:r>
    </w:p>
    <w:p>
      <w:pPr>
        <w:pStyle w:val="ListParagraph"/>
        <w:numPr>
          <w:ilvl w:val="0"/>
          <w:numId w:val="1"/>
        </w:numPr>
        <w:spacing w:after="100" w:line="290"/>
      </w:pPr>
      <w:r>
        <w:rPr>
          <w:rFonts w:ascii="Calibri" w:cs="Calibri" w:eastAsia="Calibri" w:hAnsi="Calibri"/>
          <w:b/>
          <w:bCs/>
          <w:color w:val="222222"/>
          <w:sz w:val="21"/>
          <w:szCs w:val="21"/>
        </w:rPr>
        <w:t xml:space="preserve">Chemins relatifs </w:t>
      </w:r>
      <w:r>
        <w:rPr>
          <w:rFonts w:ascii="Calibri" w:cs="Calibri" w:eastAsia="Calibri" w:hAnsi="Calibri"/>
          <w:color w:val="222222"/>
          <w:sz w:val="21"/>
          <w:szCs w:val="21"/>
        </w:rPr>
        <w:t xml:space="preserve">plutôt qu'absolus : portabilité du notebook sur n'importe quel poste, condition nécessaire à la reproductibilité exigée en critère d'acceptation.</w:t>
      </w:r>
    </w:p>
    <w:p>
      <w:pPr>
        <w:pStyle w:val="ListParagraph"/>
        <w:numPr>
          <w:ilvl w:val="0"/>
          <w:numId w:val="1"/>
        </w:numPr>
        <w:spacing w:after="100" w:line="290"/>
      </w:pPr>
      <w:r>
        <w:rPr>
          <w:rFonts w:ascii="Calibri" w:cs="Calibri" w:eastAsia="Calibri" w:hAnsi="Calibri"/>
          <w:b/>
          <w:bCs/>
          <w:color w:val="222222"/>
          <w:sz w:val="21"/>
          <w:szCs w:val="21"/>
        </w:rPr>
        <w:t xml:space="preserve">Suppression du code mort </w:t>
      </w:r>
      <w:r>
        <w:rPr>
          <w:rFonts w:ascii="Calibri" w:cs="Calibri" w:eastAsia="Calibri" w:hAnsi="Calibri"/>
          <w:color w:val="222222"/>
          <w:sz w:val="21"/>
          <w:szCs w:val="21"/>
        </w:rPr>
        <w:t xml:space="preserve">dans la cellule de valorisation de stock : la colonne était calculée une première fois avec price puis immédiatement écrasée par le calcul correct sur purchase_price. Suppression sans impact sur le résultat numérique final (298 540,07 € avant et après).</w:t>
      </w:r>
    </w:p>
    <w:p>
      <w:pPr>
        <w:pStyle w:val="ListParagraph"/>
        <w:numPr>
          <w:ilvl w:val="0"/>
          <w:numId w:val="1"/>
        </w:numPr>
        <w:spacing w:after="100" w:line="290"/>
      </w:pPr>
      <w:r>
        <w:rPr>
          <w:rFonts w:ascii="Calibri" w:cs="Calibri" w:eastAsia="Calibri" w:hAnsi="Calibri"/>
          <w:b/>
          <w:bCs/>
          <w:color w:val="222222"/>
          <w:sz w:val="21"/>
          <w:szCs w:val="21"/>
        </w:rPr>
        <w:t xml:space="preserve">Standardisation avant Isolation Forest : </w:t>
      </w:r>
      <w:r>
        <w:rPr>
          <w:rFonts w:ascii="Calibri" w:cs="Calibri" w:eastAsia="Calibri" w:hAnsi="Calibri"/>
          <w:color w:val="222222"/>
          <w:sz w:val="21"/>
          <w:szCs w:val="21"/>
        </w:rPr>
        <w:t xml:space="preserve">indispensable car price (dizaines à centaines d'euros), stock_quantity et total_sales (unités) sont sur des échelles très différentes.</w:t>
      </w:r>
    </w:p>
    <w:p>
      <w:pPr>
        <w:pStyle w:val="ListParagraph"/>
        <w:numPr>
          <w:ilvl w:val="0"/>
          <w:numId w:val="1"/>
        </w:numPr>
        <w:spacing w:after="100" w:line="290"/>
      </w:pPr>
      <w:r>
        <w:rPr>
          <w:rFonts w:ascii="Calibri" w:cs="Calibri" w:eastAsia="Calibri" w:hAnsi="Calibri"/>
          <w:b/>
          <w:bCs/>
          <w:color w:val="222222"/>
          <w:sz w:val="21"/>
          <w:szCs w:val="21"/>
        </w:rPr>
        <w:t xml:space="preserve">contamination = nb_outliers / df_final.shape[0] (4,36 %) </w:t>
      </w:r>
      <w:r>
        <w:rPr>
          <w:rFonts w:ascii="Calibri" w:cs="Calibri" w:eastAsia="Calibri" w:hAnsi="Calibri"/>
          <w:color w:val="222222"/>
          <w:sz w:val="21"/>
          <w:szCs w:val="21"/>
        </w:rPr>
        <w:t xml:space="preserve">plutôt qu'une valeur arbitraire : calibrage traçable, déjà validé côté métier via l'IQR.</w:t>
      </w:r>
    </w:p>
    <w:p>
      <w:pPr>
        <w:pStyle w:val="ListParagraph"/>
        <w:numPr>
          <w:ilvl w:val="0"/>
          <w:numId w:val="1"/>
        </w:numPr>
        <w:spacing w:after="100" w:line="290"/>
      </w:pPr>
      <w:r>
        <w:rPr>
          <w:rFonts w:ascii="Calibri" w:cs="Calibri" w:eastAsia="Calibri" w:hAnsi="Calibri"/>
          <w:b/>
          <w:bCs/>
          <w:color w:val="222222"/>
          <w:sz w:val="21"/>
          <w:szCs w:val="21"/>
        </w:rPr>
        <w:t xml:space="preserve">random_state=42 : </w:t>
      </w:r>
      <w:r>
        <w:rPr>
          <w:rFonts w:ascii="Calibri" w:cs="Calibri" w:eastAsia="Calibri" w:hAnsi="Calibri"/>
          <w:color w:val="222222"/>
          <w:sz w:val="21"/>
          <w:szCs w:val="21"/>
        </w:rPr>
        <w:t xml:space="preserve">reproductibilité des résultats d'une exécution à l'autre.</w:t>
      </w:r>
    </w:p>
    <w:p>
      <w:pPr>
        <w:pStyle w:val="ListParagraph"/>
        <w:numPr>
          <w:ilvl w:val="0"/>
          <w:numId w:val="1"/>
        </w:numPr>
        <w:spacing w:after="100" w:line="290"/>
      </w:pPr>
      <w:r>
        <w:rPr>
          <w:rFonts w:ascii="Calibri" w:cs="Calibri" w:eastAsia="Calibri" w:hAnsi="Calibri"/>
          <w:b/>
          <w:bCs/>
          <w:color w:val="222222"/>
          <w:sz w:val="21"/>
          <w:szCs w:val="21"/>
        </w:rPr>
        <w:t xml:space="preserve">Seuil p &lt; 0,05 : </w:t>
      </w:r>
      <w:r>
        <w:rPr>
          <w:rFonts w:ascii="Calibri" w:cs="Calibri" w:eastAsia="Calibri" w:hAnsi="Calibri"/>
          <w:color w:val="222222"/>
          <w:sz w:val="21"/>
          <w:szCs w:val="21"/>
        </w:rPr>
        <w:t xml:space="preserve">seuil usuel en sciences sociales et en analyse de données, cohérent avec la nature exploratoire de l'étude.</w:t>
      </w:r>
    </w:p>
    <w:p>
      <w:pPr>
        <w:pStyle w:val="ListParagraph"/>
        <w:numPr>
          <w:ilvl w:val="0"/>
          <w:numId w:val="1"/>
        </w:numPr>
        <w:spacing w:after="100" w:line="290"/>
      </w:pPr>
      <w:r>
        <w:rPr>
          <w:rFonts w:ascii="Calibri" w:cs="Calibri" w:eastAsia="Calibri" w:hAnsi="Calibri"/>
          <w:b/>
          <w:bCs/>
          <w:color w:val="222222"/>
          <w:sz w:val="21"/>
          <w:szCs w:val="21"/>
        </w:rPr>
        <w:t xml:space="preserve">Insertion sans réécriture : </w:t>
      </w:r>
      <w:r>
        <w:rPr>
          <w:rFonts w:ascii="Calibri" w:cs="Calibri" w:eastAsia="Calibri" w:hAnsi="Calibri"/>
          <w:color w:val="222222"/>
          <w:sz w:val="21"/>
          <w:szCs w:val="21"/>
        </w:rPr>
        <w:t xml:space="preserve">la section Isolation Forest est insérée après l'Étape 4.2.2 (IQR) et avant l'Étape 5 ; la section de significativité après la conclusion de la heatmap (Étape 5.5) et avant l'export Excel (Étape 5.6). Toutes les sections et conclusions du V1 sont conservées mot pour mot.</w:t>
      </w:r>
    </w:p>
    <w:p>
      <w:pPr>
        <w:pStyle w:val="Heading1"/>
        <w:pBdr>
          <w:bottom w:val="single" w:color="1F7A8C" w:sz="6" w:space="6"/>
        </w:pBdr>
        <w:spacing w:after="200" w:before="420"/>
      </w:pPr>
      <w:r>
        <w:rPr>
          <w:rFonts w:ascii="Calibri" w:cs="Calibri" w:eastAsia="Calibri" w:hAnsi="Calibri"/>
          <w:b/>
          <w:bCs/>
          <w:color w:val="134652"/>
          <w:sz w:val="30"/>
          <w:szCs w:val="30"/>
        </w:rPr>
        <w:t xml:space="preserve">3bis. Incident détecté et corrigé — traçabilité critique</w:t>
      </w:r>
    </w:p>
    <w:p>
      <w:pPr>
        <w:spacing w:after="160" w:line="300"/>
      </w:pPr>
      <w:r>
        <w:rPr>
          <w:rFonts w:ascii="Calibri" w:cs="Calibri" w:eastAsia="Calibri" w:hAnsi="Calibri"/>
          <w:b w:val="false"/>
          <w:bCs w:val="false"/>
          <w:i w:val="false"/>
          <w:iCs w:val="false"/>
          <w:color w:val="222222"/>
          <w:sz w:val="21"/>
          <w:szCs w:val="21"/>
        </w:rPr>
        <w:t xml:space="preserve">Avant cette dernière relecture, le notebook V2 n'avait en réalité jamais été exécuté intégralement malgré ce qu'affirmait une version antérieure de ce document : sur 92 cellules de code, seules 2 affichaient un résultat, et une cellule de conclusion portait encore la mention "À compléter après exécution".</w:t>
      </w:r>
    </w:p>
    <w:p>
      <w:pPr>
        <w:spacing w:after="160" w:line="300"/>
      </w:pPr>
      <w:r>
        <w:rPr>
          <w:rFonts w:ascii="Calibri" w:cs="Calibri" w:eastAsia="Calibri" w:hAnsi="Calibri"/>
          <w:b w:val="false"/>
          <w:bCs w:val="false"/>
          <w:i w:val="false"/>
          <w:iCs w:val="false"/>
          <w:color w:val="222222"/>
          <w:sz w:val="21"/>
          <w:szCs w:val="21"/>
        </w:rPr>
        <w:t xml:space="preserve">En creusant la cause, un bug de formatage a été identifié dans 17 cellules (dont la cellule de chargement des fichiers sources et les deux nouvelles sections ajoutées pour ce livrable) : les sauts de ligne entre instructions Python avaient disparu à un moment de la génération du fichier .ipynb, si bien qu'un commentaire # en début de cellule "avalait" silencieusement tout le code qui suivait sur la même ligne logique — provoquant une NameError dès la première cellule de chargement des données.</w:t>
      </w:r>
    </w:p>
    <w:p>
      <w:pPr>
        <w:spacing w:after="160" w:line="300"/>
      </w:pPr>
      <w:r>
        <w:rPr>
          <w:rFonts w:ascii="Calibri" w:cs="Calibri" w:eastAsia="Calibri" w:hAnsi="Calibri"/>
          <w:b/>
          <w:bCs/>
          <w:i w:val="false"/>
          <w:iCs w:val="false"/>
          <w:color w:val="222222"/>
          <w:sz w:val="21"/>
          <w:szCs w:val="21"/>
        </w:rPr>
        <w:t xml:space="preserve">Correction apportée : </w:t>
      </w:r>
      <w:r>
        <w:rPr>
          <w:rFonts w:ascii="Calibri" w:cs="Calibri" w:eastAsia="Calibri" w:hAnsi="Calibri"/>
          <w:b w:val="false"/>
          <w:bCs w:val="false"/>
          <w:i w:val="false"/>
          <w:iCs w:val="false"/>
          <w:color w:val="222222"/>
          <w:sz w:val="21"/>
          <w:szCs w:val="21"/>
        </w:rPr>
        <w:t xml:space="preserve">reconstruction programmatique des sauts de ligne manquants dans les 17 cellules concernées, puis exécution complète du notebook (jupyter nbconvert --execute) avec les trois fichiers sources (erp.xlsx, web.xlsx, liaison.xlsx).</w:t>
      </w:r>
    </w:p>
    <w:p>
      <w:pPr>
        <w:spacing w:after="160" w:line="300"/>
      </w:pPr>
      <w:r>
        <w:rPr>
          <w:rFonts w:ascii="Calibri" w:cs="Calibri" w:eastAsia="Calibri" w:hAnsi="Calibri"/>
          <w:b/>
          <w:bCs/>
          <w:i w:val="false"/>
          <w:iCs w:val="false"/>
          <w:color w:val="222222"/>
          <w:sz w:val="21"/>
          <w:szCs w:val="21"/>
        </w:rPr>
        <w:t xml:space="preserve">Résultat : </w:t>
      </w:r>
      <w:r>
        <w:rPr>
          <w:rFonts w:ascii="Calibri" w:cs="Calibri" w:eastAsia="Calibri" w:hAnsi="Calibri"/>
          <w:b w:val="false"/>
          <w:bCs w:val="false"/>
          <w:i w:val="false"/>
          <w:iCs w:val="false"/>
          <w:color w:val="222222"/>
          <w:sz w:val="21"/>
          <w:szCs w:val="21"/>
        </w:rPr>
        <w:t xml:space="preserve">le notebook s'exécute désormais intégralement, 0 erreur sur 92 cellules de code. Les deux cellules de conclusion laissées en placeholder ont été complétées avec les résultats réels obtenus. Tous les chiffres de la section suivante sont issus de cette exécution vérifiée, et non d'une estimation.</w:t>
      </w:r>
    </w:p>
    <w:p>
      <w:pPr>
        <w:spacing w:after="160" w:line="300"/>
      </w:pPr>
      <w:r>
        <w:rPr>
          <w:rFonts w:ascii="Calibri" w:cs="Calibri" w:eastAsia="Calibri" w:hAnsi="Calibri"/>
          <w:b w:val="false"/>
          <w:bCs w:val="false"/>
          <w:i/>
          <w:iCs/>
          <w:color w:val="222222"/>
          <w:sz w:val="21"/>
          <w:szCs w:val="21"/>
        </w:rPr>
        <w:t xml:space="preserve">Cet incident est volontairement documenté plutôt que masqué : il illustre concrètement pourquoi un livrable amélioré par l'IA doit être exécuté et vérifié avant d'être considéré comme fiable, et pas seulement relu.</w:t>
      </w:r>
    </w:p>
    <w:p>
      <w:pPr>
        <w:pStyle w:val="Heading1"/>
        <w:pBdr>
          <w:bottom w:val="single" w:color="1F7A8C" w:sz="6" w:space="6"/>
        </w:pBdr>
        <w:spacing w:after="200" w:before="420"/>
      </w:pPr>
      <w:r>
        <w:rPr>
          <w:rFonts w:ascii="Calibri" w:cs="Calibri" w:eastAsia="Calibri" w:hAnsi="Calibri"/>
          <w:b/>
          <w:bCs/>
          <w:color w:val="134652"/>
          <w:sz w:val="30"/>
          <w:szCs w:val="30"/>
        </w:rPr>
        <w:t xml:space="preserve">4. Résultats numériques obtenus (exécution réelle, Run All)</w:t>
      </w:r>
    </w:p>
    <w:p>
      <w:pPr>
        <w:pStyle w:val="Heading2"/>
        <w:spacing w:after="140" w:before="300"/>
      </w:pPr>
      <w:r>
        <w:rPr>
          <w:rFonts w:ascii="Calibri" w:cs="Calibri" w:eastAsia="Calibri" w:hAnsi="Calibri"/>
          <w:b/>
          <w:bCs/>
          <w:color w:val="134652"/>
          <w:sz w:val="24"/>
          <w:szCs w:val="24"/>
        </w:rPr>
        <w:t xml:space="preserve">Détection d'anomalies — IQR (univariée) vs Isolation Forest (multivariée)</w:t>
      </w:r>
    </w:p>
    <w:tbl>
      <w:tblPr>
        <w:tblW w:type="dxa" w:w="9648"/>
        <w:tblBorders>
          <w:top w:val="single" w:color="D5D8DB" w:sz="4"/>
          <w:left w:val="single" w:color="D5D8DB" w:sz="4"/>
          <w:bottom w:val="single" w:color="D5D8DB" w:sz="4"/>
          <w:right w:val="single" w:color="D5D8DB" w:sz="4"/>
          <w:insideH w:val="single" w:color="D5D8DB" w:sz="4"/>
          <w:insideV w:val="single" w:color="D5D8DB" w:sz="4"/>
        </w:tblBorders>
      </w:tblPr>
      <w:tblGrid>
        <w:gridCol w:w="6400"/>
        <w:gridCol w:w="3220"/>
      </w:tblGrid>
      <w:tr>
        <w:trPr>
          <w:tblHeader/>
        </w:trPr>
        <w:tc>
          <w:tcPr>
            <w:tcW w:type="dxa" w:w="6400"/>
            <w:shd w:fill="134652" w:color="auto" w:val="clear"/>
            <w:tcMar>
              <w:top w:type="dxa" w:w="90"/>
              <w:left w:type="dxa" w:w="130"/>
              <w:bottom w:type="dxa" w:w="90"/>
              <w:right w:type="dxa" w:w="130"/>
            </w:tcMar>
            <w:vAlign w:val="center"/>
          </w:tcPr>
          <w:p>
            <w:r>
              <w:rPr>
                <w:rFonts w:ascii="Calibri" w:cs="Calibri" w:eastAsia="Calibri" w:hAnsi="Calibri"/>
                <w:b/>
                <w:bCs/>
                <w:color w:val="FFFFFF"/>
                <w:sz w:val="19"/>
                <w:szCs w:val="19"/>
              </w:rPr>
              <w:t xml:space="preserve">Indicateur</w:t>
            </w:r>
          </w:p>
        </w:tc>
        <w:tc>
          <w:tcPr>
            <w:tcW w:type="dxa" w:w="3220"/>
            <w:shd w:fill="134652" w:color="auto" w:val="clear"/>
            <w:tcMar>
              <w:top w:type="dxa" w:w="90"/>
              <w:left w:type="dxa" w:w="130"/>
              <w:bottom w:type="dxa" w:w="90"/>
              <w:right w:type="dxa" w:w="130"/>
            </w:tcMar>
            <w:vAlign w:val="center"/>
          </w:tcPr>
          <w:p>
            <w:r>
              <w:rPr>
                <w:rFonts w:ascii="Calibri" w:cs="Calibri" w:eastAsia="Calibri" w:hAnsi="Calibri"/>
                <w:b/>
                <w:bCs/>
                <w:color w:val="FFFFFF"/>
                <w:sz w:val="19"/>
                <w:szCs w:val="19"/>
              </w:rPr>
              <w:t xml:space="preserve">Valeur</w:t>
            </w:r>
          </w:p>
        </w:tc>
      </w:tr>
      <w:tr>
        <w:tc>
          <w:tcPr>
            <w:tcW w:type="dxa" w:w="6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Outliers détectés par l'IQR (sur price uniquement)</w:t>
            </w:r>
          </w:p>
        </w:tc>
        <w:tc>
          <w:tcPr>
            <w:tcW w:type="dxa" w:w="3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36 articles (4,36 % du catalogue)</w:t>
            </w:r>
          </w:p>
        </w:tc>
      </w:tr>
      <w:tr>
        <w:tc>
          <w:tcPr>
            <w:tcW w:type="dxa" w:w="64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Taux de contamination calibré pour l'Isolation Forest</w:t>
            </w:r>
          </w:p>
        </w:tc>
        <w:tc>
          <w:tcPr>
            <w:tcW w:type="dxa" w:w="32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4,36 % (calibré sur l'IQR)</w:t>
            </w:r>
          </w:p>
        </w:tc>
      </w:tr>
      <w:tr>
        <w:tc>
          <w:tcPr>
            <w:tcW w:type="dxa" w:w="6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Anomalies détectées par Isolation Forest</w:t>
            </w:r>
          </w:p>
        </w:tc>
        <w:tc>
          <w:tcPr>
            <w:tcW w:type="dxa" w:w="3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32 articles (4,48 % des articles analysés)</w:t>
            </w:r>
          </w:p>
        </w:tc>
      </w:tr>
      <w:tr>
        <w:tc>
          <w:tcPr>
            <w:tcW w:type="dxa" w:w="64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Anomalies détectées par les deux méthodes</w:t>
            </w:r>
          </w:p>
        </w:tc>
        <w:tc>
          <w:tcPr>
            <w:tcW w:type="dxa" w:w="32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13 articles</w:t>
            </w:r>
          </w:p>
        </w:tc>
      </w:tr>
      <w:tr>
        <w:tc>
          <w:tcPr>
            <w:tcW w:type="dxa" w:w="6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Taux de recouvrement (indice de Jaccard : intersection / union)</w:t>
            </w:r>
          </w:p>
        </w:tc>
        <w:tc>
          <w:tcPr>
            <w:tcW w:type="dxa" w:w="3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23,64 %</w:t>
            </w:r>
          </w:p>
        </w:tc>
      </w:tr>
      <w:tr>
        <w:tc>
          <w:tcPr>
            <w:tcW w:type="dxa" w:w="64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Taux de recouvrement (intersection / total IQR)</w:t>
            </w:r>
          </w:p>
        </w:tc>
        <w:tc>
          <w:tcPr>
            <w:tcW w:type="dxa" w:w="32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36,11 %</w:t>
            </w:r>
          </w:p>
        </w:tc>
      </w:tr>
      <w:tr>
        <w:tc>
          <w:tcPr>
            <w:tcW w:type="dxa" w:w="6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Anomalies détectées uniquement par Isolation Forest</w:t>
            </w:r>
          </w:p>
        </w:tc>
        <w:tc>
          <w:tcPr>
            <w:tcW w:type="dxa" w:w="3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19 articles</w:t>
            </w:r>
          </w:p>
        </w:tc>
      </w:tr>
    </w:tbl>
    <w:p>
      <w:pPr>
        <w:spacing w:after="200" w:before="160"/>
      </w:pPr>
    </w:p>
    <w:tbl>
      <w:tblPr>
        <w:tblW w:type="dxa" w:w="9648"/>
        <w:tblBorders>
          <w:top w:val="single" w:color="1F7A8C" w:sz="4"/>
          <w:left w:val="single" w:color="1F7A8C" w:sz="24"/>
          <w:bottom w:val="single" w:color="1F7A8C" w:sz="4"/>
          <w:right w:val="single" w:color="1F7A8C" w:sz="4"/>
          <w:insideH w:val="none" w:color="FFFFFF" w:sz="0"/>
          <w:insideV w:val="none" w:color="FFFFFF" w:sz="0"/>
        </w:tblBorders>
      </w:tblPr>
      <w:tblGrid>
        <w:gridCol w:w="9648"/>
      </w:tblGrid>
      <w:tr>
        <w:tc>
          <w:tcPr>
            <w:tcW w:type="dxa" w:w="9648"/>
            <w:shd w:fill="FBF3EF" w:color="auto" w:val="clear"/>
            <w:tcMar>
              <w:top w:type="dxa" w:w="160"/>
              <w:left w:type="dxa" w:w="220"/>
              <w:bottom w:type="dxa" w:w="160"/>
              <w:right w:type="dxa" w:w="220"/>
            </w:tcMar>
          </w:tcPr>
          <w:p>
            <w:pPr>
              <w:spacing w:after="40"/>
            </w:pPr>
            <w:r>
              <w:rPr>
                <w:rFonts w:ascii="Calibri" w:cs="Calibri" w:eastAsia="Calibri" w:hAnsi="Calibri"/>
                <w:b/>
                <w:bCs/>
                <w:color w:val="1F7A8C"/>
                <w:spacing w:val="15"/>
                <w:sz w:val="17"/>
                <w:szCs w:val="17"/>
              </w:rPr>
              <w:t xml:space="preserve">LECTURE</w:t>
            </w:r>
          </w:p>
          <w:p>
            <w:r>
              <w:rPr>
                <w:rFonts w:ascii="Calibri" w:cs="Calibri" w:eastAsia="Calibri" w:hAnsi="Calibri"/>
                <w:i/>
                <w:iCs/>
                <w:color w:val="2B2B2B"/>
                <w:sz w:val="21"/>
                <w:szCs w:val="21"/>
              </w:rPr>
              <w:t xml:space="preserve">Malgré un taux de contamination identique, les deux méthodes ne détectent presque pas les mêmes articles. 19 articles ont un prix parfaitement dans la norme mais une combinaison stock/ventes atypique — invisibles à l'analyse univariée du prix pratiquée dans le notebook V1. C'est la preuve concrète, chiffrée, de la limite identifiée en veille technologique.</w:t>
            </w:r>
          </w:p>
        </w:tc>
      </w:tr>
    </w:tbl>
    <w:p>
      <w:pPr>
        <w:spacing w:before="260"/>
      </w:pPr>
    </w:p>
    <w:p>
      <w:pPr>
        <w:pStyle w:val="Heading2"/>
        <w:spacing w:after="140" w:before="300"/>
      </w:pPr>
      <w:r>
        <w:rPr>
          <w:rFonts w:ascii="Calibri" w:cs="Calibri" w:eastAsia="Calibri" w:hAnsi="Calibri"/>
          <w:b/>
          <w:bCs/>
          <w:color w:val="134652"/>
          <w:sz w:val="24"/>
          <w:szCs w:val="24"/>
        </w:rPr>
        <w:t xml:space="preserve">Tests de significativité statistique (Pearson / Spearman)</w:t>
      </w:r>
    </w:p>
    <w:p>
      <w:pPr>
        <w:pStyle w:val="ListParagraph"/>
        <w:numPr>
          <w:ilvl w:val="0"/>
          <w:numId w:val="1"/>
        </w:numPr>
        <w:spacing w:after="100" w:line="290"/>
      </w:pPr>
      <w:r>
        <w:rPr>
          <w:rFonts w:ascii="Calibri" w:cs="Calibri" w:eastAsia="Calibri" w:hAnsi="Calibri"/>
          <w:color w:val="222222"/>
          <w:sz w:val="21"/>
          <w:szCs w:val="21"/>
        </w:rPr>
        <w:t xml:space="preserve">15 paires de variables testées (stock_quantity, total_sales, price, taux_marge, prix_ht, purchase_price)</w:t>
      </w:r>
    </w:p>
    <w:p>
      <w:pPr>
        <w:pStyle w:val="ListParagraph"/>
        <w:numPr>
          <w:ilvl w:val="0"/>
          <w:numId w:val="1"/>
        </w:numPr>
        <w:spacing w:after="100" w:line="290"/>
      </w:pPr>
      <w:r>
        <w:rPr>
          <w:rFonts w:ascii="Calibri" w:cs="Calibri" w:eastAsia="Calibri" w:hAnsi="Calibri"/>
          <w:color w:val="222222"/>
          <w:sz w:val="21"/>
          <w:szCs w:val="21"/>
        </w:rPr>
        <w:t xml:space="preserve">11/15 paires significatives selon Pearson (p &lt; 0,05), 12/15 selon Spearman</w:t>
      </w:r>
    </w:p>
    <w:p>
      <w:pPr>
        <w:spacing w:after="200" w:before="100"/>
      </w:pPr>
    </w:p>
    <w:tbl>
      <w:tblPr>
        <w:tblW w:type="dxa" w:w="9648"/>
        <w:tblBorders>
          <w:top w:val="single" w:color="E8622C" w:sz="4"/>
          <w:left w:val="single" w:color="E8622C" w:sz="24"/>
          <w:bottom w:val="single" w:color="E8622C" w:sz="4"/>
          <w:right w:val="single" w:color="E8622C" w:sz="4"/>
          <w:insideH w:val="none" w:color="FFFFFF" w:sz="0"/>
          <w:insideV w:val="none" w:color="FFFFFF" w:sz="0"/>
        </w:tblBorders>
      </w:tblPr>
      <w:tblGrid>
        <w:gridCol w:w="9648"/>
      </w:tblGrid>
      <w:tr>
        <w:tc>
          <w:tcPr>
            <w:tcW w:type="dxa" w:w="9648"/>
            <w:shd w:fill="FBF3EF" w:color="auto" w:val="clear"/>
            <w:tcMar>
              <w:top w:type="dxa" w:w="160"/>
              <w:left w:type="dxa" w:w="220"/>
              <w:bottom w:type="dxa" w:w="160"/>
              <w:right w:type="dxa" w:w="220"/>
            </w:tcMar>
          </w:tcPr>
          <w:p>
            <w:pPr>
              <w:spacing w:after="40"/>
            </w:pPr>
            <w:r>
              <w:rPr>
                <w:rFonts w:ascii="Calibri" w:cs="Calibri" w:eastAsia="Calibri" w:hAnsi="Calibri"/>
                <w:b/>
                <w:bCs/>
                <w:color w:val="E8622C"/>
                <w:spacing w:val="15"/>
                <w:sz w:val="17"/>
                <w:szCs w:val="17"/>
              </w:rPr>
              <w:t xml:space="preserve">RÉSULTAT NOTABLE</w:t>
            </w:r>
          </w:p>
          <w:p>
            <w:r>
              <w:rPr>
                <w:rFonts w:ascii="Calibri" w:cs="Calibri" w:eastAsia="Calibri" w:hAnsi="Calibri"/>
                <w:i/>
                <w:iCs/>
                <w:color w:val="2B2B2B"/>
                <w:sz w:val="21"/>
                <w:szCs w:val="21"/>
              </w:rPr>
              <w:t xml:space="preserve">stock_quantity vs purchase_price — Pearson r = -0,024 (non significatif, p = 0,52) mais Spearman r = -0,551 (hautement significatif, p &lt; 0,0001). Un simple coefficient de Pearson, comme celui affiché dans la heatmap du V1, aurait conclu à tort à une absence totale de lien entre ces deux variables ; Spearman révèle une relation monotone forte que Pearson ne capture pas.</w:t>
            </w:r>
          </w:p>
        </w:tc>
      </w:tr>
    </w:tbl>
    <w:p>
      <w:pPr>
        <w:spacing w:before="220"/>
      </w:pPr>
    </w:p>
    <w:p>
      <w:pPr>
        <w:spacing w:after="160" w:line="300"/>
      </w:pPr>
      <w:r>
        <w:rPr>
          <w:rFonts w:ascii="Calibri" w:cs="Calibri" w:eastAsia="Calibri" w:hAnsi="Calibri"/>
          <w:b w:val="false"/>
          <w:bCs w:val="false"/>
          <w:i w:val="false"/>
          <w:iCs w:val="false"/>
          <w:color w:val="222222"/>
          <w:sz w:val="21"/>
          <w:szCs w:val="21"/>
        </w:rPr>
        <w:t xml:space="preserve">Les corrélations tarifaires fortes déjà commentées en V1 (price / prix_ht / purchase_price) sont confirmées hautement significatives par les deux tests (p &lt; 0,0001), ce qui valide statistiquement la conclusion déjà tirée dans le notebook original.</w:t>
      </w:r>
    </w:p>
    <w:p>
      <w:pPr>
        <w:pStyle w:val="Heading2"/>
        <w:spacing w:after="140" w:before="300"/>
      </w:pPr>
      <w:r>
        <w:rPr>
          <w:rFonts w:ascii="Calibri" w:cs="Calibri" w:eastAsia="Calibri" w:hAnsi="Calibri"/>
          <w:b/>
          <w:bCs/>
          <w:color w:val="134652"/>
          <w:sz w:val="24"/>
          <w:szCs w:val="24"/>
        </w:rPr>
        <w:t xml:space="preserve">Vérification de la valorisation du stock</w:t>
      </w:r>
    </w:p>
    <w:tbl>
      <w:tblPr>
        <w:tblW w:type="dxa" w:w="9648"/>
        <w:tblBorders>
          <w:top w:val="single" w:color="D5D8DB" w:sz="4"/>
          <w:left w:val="single" w:color="D5D8DB" w:sz="4"/>
          <w:bottom w:val="single" w:color="D5D8DB" w:sz="4"/>
          <w:right w:val="single" w:color="D5D8DB" w:sz="4"/>
          <w:insideH w:val="single" w:color="D5D8DB" w:sz="4"/>
          <w:insideV w:val="single" w:color="D5D8DB" w:sz="4"/>
        </w:tblBorders>
      </w:tblPr>
      <w:tblGrid>
        <w:gridCol w:w="6400"/>
        <w:gridCol w:w="3220"/>
      </w:tblGrid>
      <w:tr>
        <w:trPr>
          <w:tblHeader/>
        </w:trPr>
        <w:tc>
          <w:tcPr>
            <w:tcW w:type="dxa" w:w="6400"/>
            <w:shd w:fill="134652" w:color="auto" w:val="clear"/>
            <w:tcMar>
              <w:top w:type="dxa" w:w="90"/>
              <w:left w:type="dxa" w:w="130"/>
              <w:bottom w:type="dxa" w:w="90"/>
              <w:right w:type="dxa" w:w="130"/>
            </w:tcMar>
            <w:vAlign w:val="center"/>
          </w:tcPr>
          <w:p>
            <w:r>
              <w:rPr>
                <w:rFonts w:ascii="Calibri" w:cs="Calibri" w:eastAsia="Calibri" w:hAnsi="Calibri"/>
                <w:b/>
                <w:bCs/>
                <w:color w:val="FFFFFF"/>
                <w:sz w:val="19"/>
                <w:szCs w:val="19"/>
              </w:rPr>
              <w:t xml:space="preserve">Indicateur</w:t>
            </w:r>
          </w:p>
        </w:tc>
        <w:tc>
          <w:tcPr>
            <w:tcW w:type="dxa" w:w="3220"/>
            <w:shd w:fill="134652" w:color="auto" w:val="clear"/>
            <w:tcMar>
              <w:top w:type="dxa" w:w="90"/>
              <w:left w:type="dxa" w:w="130"/>
              <w:bottom w:type="dxa" w:w="90"/>
              <w:right w:type="dxa" w:w="130"/>
            </w:tcMar>
            <w:vAlign w:val="center"/>
          </w:tcPr>
          <w:p>
            <w:r>
              <w:rPr>
                <w:rFonts w:ascii="Calibri" w:cs="Calibri" w:eastAsia="Calibri" w:hAnsi="Calibri"/>
                <w:b/>
                <w:bCs/>
                <w:color w:val="FFFFFF"/>
                <w:sz w:val="19"/>
                <w:szCs w:val="19"/>
              </w:rPr>
              <w:t xml:space="preserve">Valeur</w:t>
            </w:r>
          </w:p>
        </w:tc>
      </w:tr>
      <w:tr>
        <w:tc>
          <w:tcPr>
            <w:tcW w:type="dxa" w:w="6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Valorisation totale du stock (stock_quantity × purchase_price)</w:t>
            </w:r>
          </w:p>
        </w:tc>
        <w:tc>
          <w:tcPr>
            <w:tcW w:type="dxa" w:w="3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298 540,07 € (identique avant/après suppression du code mort)</w:t>
            </w:r>
          </w:p>
        </w:tc>
      </w:tr>
      <w:tr>
        <w:tc>
          <w:tcPr>
            <w:tcW w:type="dxa" w:w="64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Nombre total d'unités en stock</w:t>
            </w:r>
          </w:p>
        </w:tc>
        <w:tc>
          <w:tcPr>
            <w:tcW w:type="dxa" w:w="32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17 803 unités</w:t>
            </w:r>
          </w:p>
        </w:tc>
      </w:tr>
    </w:tbl>
    <w:p>
      <w:pPr>
        <w:pStyle w:val="Heading1"/>
        <w:pBdr>
          <w:bottom w:val="single" w:color="1F7A8C" w:sz="6" w:space="6"/>
        </w:pBdr>
        <w:spacing w:after="200" w:before="420"/>
      </w:pPr>
      <w:r>
        <w:rPr>
          <w:rFonts w:ascii="Calibri" w:cs="Calibri" w:eastAsia="Calibri" w:hAnsi="Calibri"/>
          <w:b/>
          <w:bCs/>
          <w:color w:val="134652"/>
          <w:sz w:val="30"/>
          <w:szCs w:val="30"/>
        </w:rPr>
        <w:t xml:space="preserve">5. Limites et biais identifiés</w:t>
      </w:r>
    </w:p>
    <w:p>
      <w:pPr>
        <w:pStyle w:val="ListParagraph"/>
        <w:numPr>
          <w:ilvl w:val="0"/>
          <w:numId w:val="1"/>
        </w:numPr>
        <w:spacing w:after="100" w:line="290"/>
      </w:pPr>
      <w:r>
        <w:rPr>
          <w:rFonts w:ascii="Calibri" w:cs="Calibri" w:eastAsia="Calibri" w:hAnsi="Calibri"/>
          <w:b/>
          <w:bCs/>
          <w:color w:val="222222"/>
          <w:sz w:val="21"/>
          <w:szCs w:val="21"/>
        </w:rPr>
        <w:t xml:space="preserve">Taux de contamination hérité d'une méthode univariée : </w:t>
      </w:r>
      <w:r>
        <w:rPr>
          <w:rFonts w:ascii="Calibri" w:cs="Calibri" w:eastAsia="Calibri" w:hAnsi="Calibri"/>
          <w:color w:val="222222"/>
          <w:sz w:val="21"/>
          <w:szCs w:val="21"/>
        </w:rPr>
        <w:t xml:space="preserve">calibrer sur le taux IQR est pragmatique et traçable, mais rien ne garantit que le "vrai" taux d'anomalies multivariées soit identique — hypothèse simplificatrice, explicitée plutôt que masquée.</w:t>
      </w:r>
    </w:p>
    <w:p>
      <w:pPr>
        <w:pStyle w:val="ListParagraph"/>
        <w:numPr>
          <w:ilvl w:val="0"/>
          <w:numId w:val="1"/>
        </w:numPr>
        <w:spacing w:after="100" w:line="290"/>
      </w:pPr>
      <w:r>
        <w:rPr>
          <w:rFonts w:ascii="Calibri" w:cs="Calibri" w:eastAsia="Calibri" w:hAnsi="Calibri"/>
          <w:b/>
          <w:bCs/>
          <w:color w:val="222222"/>
          <w:sz w:val="21"/>
          <w:szCs w:val="21"/>
        </w:rPr>
        <w:t xml:space="preserve">Le recouvrement n'est pas une mesure de précision/rappel : </w:t>
      </w:r>
      <w:r>
        <w:rPr>
          <w:rFonts w:ascii="Calibri" w:cs="Calibri" w:eastAsia="Calibri" w:hAnsi="Calibri"/>
          <w:color w:val="222222"/>
          <w:sz w:val="21"/>
          <w:szCs w:val="21"/>
        </w:rPr>
        <w:t xml:space="preserve">sans vérité terrain, il est impossible de savoir laquelle des deux méthodes "a raison" — les résultats sont des pistes d'investigation métier, pas des faits établis.</w:t>
      </w:r>
    </w:p>
    <w:p>
      <w:pPr>
        <w:pStyle w:val="ListParagraph"/>
        <w:numPr>
          <w:ilvl w:val="0"/>
          <w:numId w:val="1"/>
        </w:numPr>
        <w:spacing w:after="100" w:line="290"/>
      </w:pPr>
      <w:r>
        <w:rPr>
          <w:rFonts w:ascii="Calibri" w:cs="Calibri" w:eastAsia="Calibri" w:hAnsi="Calibri"/>
          <w:b/>
          <w:bCs/>
          <w:color w:val="222222"/>
          <w:sz w:val="21"/>
          <w:szCs w:val="21"/>
        </w:rPr>
        <w:t xml:space="preserve">Isolation Forest ne détecte que des anomalies globales </w:t>
      </w:r>
      <w:r>
        <w:rPr>
          <w:rFonts w:ascii="Calibri" w:cs="Calibri" w:eastAsia="Calibri" w:hAnsi="Calibri"/>
          <w:color w:val="222222"/>
          <w:sz w:val="21"/>
          <w:szCs w:val="21"/>
        </w:rPr>
        <w:t xml:space="preserve">au catalogue entier, pas des anomalies propres à une sous-famille de produits — limite déjà actée (risque R4).</w:t>
      </w:r>
    </w:p>
    <w:p>
      <w:pPr>
        <w:pStyle w:val="ListParagraph"/>
        <w:numPr>
          <w:ilvl w:val="0"/>
          <w:numId w:val="1"/>
        </w:numPr>
        <w:spacing w:after="100" w:line="290"/>
      </w:pPr>
      <w:r>
        <w:rPr>
          <w:rFonts w:ascii="Calibri" w:cs="Calibri" w:eastAsia="Calibri" w:hAnsi="Calibri"/>
          <w:b/>
          <w:bCs/>
          <w:color w:val="222222"/>
          <w:sz w:val="21"/>
          <w:szCs w:val="21"/>
        </w:rPr>
        <w:t xml:space="preserve">Discordance Pearson/Spearman sur stock_quantity vs purchase_price : </w:t>
      </w:r>
      <w:r>
        <w:rPr>
          <w:rFonts w:ascii="Calibri" w:cs="Calibri" w:eastAsia="Calibri" w:hAnsi="Calibri"/>
          <w:color w:val="222222"/>
          <w:sz w:val="21"/>
          <w:szCs w:val="21"/>
        </w:rPr>
        <w:t xml:space="preserve">peut aussi être le symptôme d'une relation influencée par quelques valeurs extrêmes (Grands Crus) plutôt qu'une vraie relation monotone globale — à confirmer par une analyse par segment de prix.</w:t>
      </w:r>
    </w:p>
    <w:p>
      <w:pPr>
        <w:pStyle w:val="ListParagraph"/>
        <w:numPr>
          <w:ilvl w:val="0"/>
          <w:numId w:val="1"/>
        </w:numPr>
        <w:spacing w:after="100" w:line="290"/>
      </w:pPr>
      <w:r>
        <w:rPr>
          <w:rFonts w:ascii="Calibri" w:cs="Calibri" w:eastAsia="Calibri" w:hAnsi="Calibri"/>
          <w:b/>
          <w:bCs/>
          <w:color w:val="222222"/>
          <w:sz w:val="21"/>
          <w:szCs w:val="21"/>
        </w:rPr>
        <w:t xml:space="preserve">13,45 % du catalogue ERP sans correspondance web : </w:t>
      </w:r>
      <w:r>
        <w:rPr>
          <w:rFonts w:ascii="Calibri" w:cs="Calibri" w:eastAsia="Calibri" w:hAnsi="Calibri"/>
          <w:color w:val="222222"/>
          <w:sz w:val="21"/>
          <w:szCs w:val="21"/>
        </w:rPr>
        <w:t xml:space="preserve">toutes les analyses portant sur df_final sont menées sur un sous-ensemble du catalogue, pas sur son intégralité.</w:t>
      </w:r>
    </w:p>
    <w:p>
      <w:pPr>
        <w:pStyle w:val="ListParagraph"/>
        <w:numPr>
          <w:ilvl w:val="0"/>
          <w:numId w:val="1"/>
        </w:numPr>
        <w:spacing w:after="100" w:line="290"/>
      </w:pPr>
      <w:r>
        <w:rPr>
          <w:rFonts w:ascii="Calibri" w:cs="Calibri" w:eastAsia="Calibri" w:hAnsi="Calibri"/>
          <w:b/>
          <w:bCs/>
          <w:color w:val="222222"/>
          <w:sz w:val="21"/>
          <w:szCs w:val="21"/>
        </w:rPr>
        <w:t xml:space="preserve">Aucune donnée temporelle : </w:t>
      </w:r>
      <w:r>
        <w:rPr>
          <w:rFonts w:ascii="Calibri" w:cs="Calibri" w:eastAsia="Calibri" w:hAnsi="Calibri"/>
          <w:color w:val="222222"/>
          <w:sz w:val="21"/>
          <w:szCs w:val="21"/>
        </w:rPr>
        <w:t xml:space="preserve">total_sales est un cumul sans horizon connu ; un article "en anomalie" pourrait simplement être en fin de vie ou en tout début de commercialisation.</w:t>
      </w:r>
    </w:p>
    <w:p>
      <w:pPr>
        <w:pStyle w:val="Heading1"/>
        <w:pBdr>
          <w:bottom w:val="single" w:color="1F7A8C" w:sz="6" w:space="6"/>
        </w:pBdr>
        <w:spacing w:after="200" w:before="420"/>
      </w:pPr>
      <w:r>
        <w:rPr>
          <w:rFonts w:ascii="Calibri" w:cs="Calibri" w:eastAsia="Calibri" w:hAnsi="Calibri"/>
          <w:b/>
          <w:bCs/>
          <w:color w:val="134652"/>
          <w:sz w:val="30"/>
          <w:szCs w:val="30"/>
        </w:rPr>
        <w:t xml:space="preserve">6. Reproductibilité</w:t>
      </w:r>
    </w:p>
    <w:p>
      <w:pPr>
        <w:spacing w:after="160" w:line="300"/>
      </w:pPr>
      <w:r>
        <w:rPr>
          <w:rFonts w:ascii="Calibri" w:cs="Calibri" w:eastAsia="Calibri" w:hAnsi="Calibri"/>
          <w:b/>
          <w:bCs/>
          <w:i w:val="false"/>
          <w:iCs w:val="false"/>
          <w:color w:val="222222"/>
          <w:sz w:val="21"/>
          <w:szCs w:val="21"/>
        </w:rPr>
        <w:t xml:space="preserve">Structure de dossier attendue :</w:t>
      </w:r>
    </w:p>
    <w:p>
      <w:pPr>
        <w:pStyle w:val="ListParagraph"/>
        <w:numPr>
          <w:ilvl w:val="0"/>
          <w:numId w:val="1"/>
        </w:numPr>
        <w:spacing w:after="100" w:line="290"/>
      </w:pPr>
      <w:r>
        <w:rPr>
          <w:rFonts w:ascii="Calibri" w:cs="Calibri" w:eastAsia="Calibri" w:hAnsi="Calibri"/>
          <w:color w:val="222222"/>
          <w:sz w:val="21"/>
          <w:szCs w:val="21"/>
        </w:rPr>
        <w:t xml:space="preserve">Belkacemi_Kawtar_1_notebook_052025.ipynb (original, ne pas modifier)</w:t>
      </w:r>
    </w:p>
    <w:p>
      <w:pPr>
        <w:pStyle w:val="ListParagraph"/>
        <w:numPr>
          <w:ilvl w:val="0"/>
          <w:numId w:val="1"/>
        </w:numPr>
        <w:spacing w:after="100" w:line="290"/>
      </w:pPr>
      <w:r>
        <w:rPr>
          <w:rFonts w:ascii="Calibri" w:cs="Calibri" w:eastAsia="Calibri" w:hAnsi="Calibri"/>
          <w:color w:val="222222"/>
          <w:sz w:val="21"/>
          <w:szCs w:val="21"/>
        </w:rPr>
        <w:t xml:space="preserve">Belkacemi_Kawtar_1_notebook_V2_AMELIORE.ipynb (notebook à exécuter)</w:t>
      </w:r>
    </w:p>
    <w:p>
      <w:pPr>
        <w:pStyle w:val="ListParagraph"/>
        <w:numPr>
          <w:ilvl w:val="0"/>
          <w:numId w:val="1"/>
        </w:numPr>
        <w:spacing w:after="100" w:line="290"/>
      </w:pPr>
      <w:r>
        <w:rPr>
          <w:rFonts w:ascii="Calibri" w:cs="Calibri" w:eastAsia="Calibri" w:hAnsi="Calibri"/>
          <w:color w:val="222222"/>
          <w:sz w:val="21"/>
          <w:szCs w:val="21"/>
        </w:rPr>
        <w:t xml:space="preserve">erp.xlsx, web.xlsx, liaison.xlsx (au même niveau que le notebook)</w:t>
      </w:r>
    </w:p>
    <w:p>
      <w:pPr>
        <w:pStyle w:val="ListParagraph"/>
        <w:numPr>
          <w:ilvl w:val="0"/>
          <w:numId w:val="1"/>
        </w:numPr>
        <w:spacing w:after="100" w:line="290"/>
      </w:pPr>
      <w:r>
        <w:rPr>
          <w:rFonts w:ascii="Calibri" w:cs="Calibri" w:eastAsia="Calibri" w:hAnsi="Calibri"/>
          <w:color w:val="222222"/>
          <w:sz w:val="21"/>
          <w:szCs w:val="21"/>
        </w:rPr>
        <w:t xml:space="preserve">veille_technologique.docx, cahier_des_charges.docx, PROJET_ORGANISATION.docx, README.docx</w:t>
      </w:r>
    </w:p>
    <w:p>
      <w:pPr>
        <w:spacing w:before="160"/>
      </w:pPr>
    </w:p>
    <w:p>
      <w:pPr>
        <w:spacing w:after="160" w:line="300"/>
      </w:pPr>
      <w:r>
        <w:rPr>
          <w:rFonts w:ascii="Calibri" w:cs="Calibri" w:eastAsia="Calibri" w:hAnsi="Calibri"/>
          <w:b/>
          <w:bCs/>
          <w:i w:val="false"/>
          <w:iCs w:val="false"/>
          <w:color w:val="222222"/>
          <w:sz w:val="21"/>
          <w:szCs w:val="21"/>
        </w:rPr>
        <w:t xml:space="preserve">Environnement Python utilisé (Run All réussi, 0 erreur sur 92 cellules de code) :</w:t>
      </w:r>
    </w:p>
    <w:tbl>
      <w:tblPr>
        <w:tblW w:type="dxa" w:w="9648"/>
        <w:tblBorders>
          <w:top w:val="single" w:color="D5D8DB" w:sz="4"/>
          <w:left w:val="single" w:color="D5D8DB" w:sz="4"/>
          <w:bottom w:val="single" w:color="D5D8DB" w:sz="4"/>
          <w:right w:val="single" w:color="D5D8DB" w:sz="4"/>
          <w:insideH w:val="single" w:color="D5D8DB" w:sz="4"/>
          <w:insideV w:val="single" w:color="D5D8DB" w:sz="4"/>
        </w:tblBorders>
      </w:tblPr>
      <w:tblGrid>
        <w:gridCol w:w="4400"/>
        <w:gridCol w:w="5220"/>
      </w:tblGrid>
      <w:tr>
        <w:trPr>
          <w:tblHeader/>
        </w:trPr>
        <w:tc>
          <w:tcPr>
            <w:tcW w:type="dxa" w:w="4400"/>
            <w:shd w:fill="134652" w:color="auto" w:val="clear"/>
            <w:tcMar>
              <w:top w:type="dxa" w:w="90"/>
              <w:left w:type="dxa" w:w="130"/>
              <w:bottom w:type="dxa" w:w="90"/>
              <w:right w:type="dxa" w:w="130"/>
            </w:tcMar>
            <w:vAlign w:val="center"/>
          </w:tcPr>
          <w:p>
            <w:r>
              <w:rPr>
                <w:rFonts w:ascii="Calibri" w:cs="Calibri" w:eastAsia="Calibri" w:hAnsi="Calibri"/>
                <w:b/>
                <w:bCs/>
                <w:color w:val="FFFFFF"/>
                <w:sz w:val="19"/>
                <w:szCs w:val="19"/>
              </w:rPr>
              <w:t xml:space="preserve">Composant</w:t>
            </w:r>
          </w:p>
        </w:tc>
        <w:tc>
          <w:tcPr>
            <w:tcW w:type="dxa" w:w="5220"/>
            <w:shd w:fill="134652" w:color="auto" w:val="clear"/>
            <w:tcMar>
              <w:top w:type="dxa" w:w="90"/>
              <w:left w:type="dxa" w:w="130"/>
              <w:bottom w:type="dxa" w:w="90"/>
              <w:right w:type="dxa" w:w="130"/>
            </w:tcMar>
            <w:vAlign w:val="center"/>
          </w:tcPr>
          <w:p>
            <w:r>
              <w:rPr>
                <w:rFonts w:ascii="Calibri" w:cs="Calibri" w:eastAsia="Calibri" w:hAnsi="Calibri"/>
                <w:b/>
                <w:bCs/>
                <w:color w:val="FFFFFF"/>
                <w:sz w:val="19"/>
                <w:szCs w:val="19"/>
              </w:rPr>
              <w:t xml:space="preserve">Version</w:t>
            </w:r>
          </w:p>
        </w:tc>
      </w:tr>
      <w:tr>
        <w:tc>
          <w:tcPr>
            <w:tcW w:type="dxa" w:w="4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Python</w:t>
            </w:r>
          </w:p>
        </w:tc>
        <w:tc>
          <w:tcPr>
            <w:tcW w:type="dxa" w:w="5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3.14.4</w:t>
            </w:r>
          </w:p>
        </w:tc>
      </w:tr>
      <w:tr>
        <w:tc>
          <w:tcPr>
            <w:tcW w:type="dxa" w:w="44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pandas</w:t>
            </w:r>
          </w:p>
        </w:tc>
        <w:tc>
          <w:tcPr>
            <w:tcW w:type="dxa" w:w="52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3.0.5</w:t>
            </w:r>
          </w:p>
        </w:tc>
      </w:tr>
      <w:tr>
        <w:tc>
          <w:tcPr>
            <w:tcW w:type="dxa" w:w="4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numpy</w:t>
            </w:r>
          </w:p>
        </w:tc>
        <w:tc>
          <w:tcPr>
            <w:tcW w:type="dxa" w:w="5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2.5.1</w:t>
            </w:r>
          </w:p>
        </w:tc>
      </w:tr>
      <w:tr>
        <w:tc>
          <w:tcPr>
            <w:tcW w:type="dxa" w:w="44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scikit-learn</w:t>
            </w:r>
          </w:p>
        </w:tc>
        <w:tc>
          <w:tcPr>
            <w:tcW w:type="dxa" w:w="52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1.9.0</w:t>
            </w:r>
          </w:p>
        </w:tc>
      </w:tr>
      <w:tr>
        <w:tc>
          <w:tcPr>
            <w:tcW w:type="dxa" w:w="4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scipy</w:t>
            </w:r>
          </w:p>
        </w:tc>
        <w:tc>
          <w:tcPr>
            <w:tcW w:type="dxa" w:w="5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1.18.0</w:t>
            </w:r>
          </w:p>
        </w:tc>
      </w:tr>
      <w:tr>
        <w:tc>
          <w:tcPr>
            <w:tcW w:type="dxa" w:w="44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plotly</w:t>
            </w:r>
          </w:p>
        </w:tc>
        <w:tc>
          <w:tcPr>
            <w:tcW w:type="dxa" w:w="52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6.9.0</w:t>
            </w:r>
          </w:p>
        </w:tc>
      </w:tr>
      <w:tr>
        <w:tc>
          <w:tcPr>
            <w:tcW w:type="dxa" w:w="4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matplotlib</w:t>
            </w:r>
          </w:p>
        </w:tc>
        <w:tc>
          <w:tcPr>
            <w:tcW w:type="dxa" w:w="5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3.11.1</w:t>
            </w:r>
          </w:p>
        </w:tc>
      </w:tr>
      <w:tr>
        <w:tc>
          <w:tcPr>
            <w:tcW w:type="dxa" w:w="44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seaborn</w:t>
            </w:r>
          </w:p>
        </w:tc>
        <w:tc>
          <w:tcPr>
            <w:tcW w:type="dxa" w:w="52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0.13.2</w:t>
            </w:r>
          </w:p>
        </w:tc>
      </w:tr>
      <w:tr>
        <w:tc>
          <w:tcPr>
            <w:tcW w:type="dxa" w:w="4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openpyxl</w:t>
            </w:r>
          </w:p>
        </w:tc>
        <w:tc>
          <w:tcPr>
            <w:tcW w:type="dxa" w:w="5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3.1.5</w:t>
            </w:r>
          </w:p>
        </w:tc>
      </w:tr>
      <w:tr>
        <w:tc>
          <w:tcPr>
            <w:tcW w:type="dxa" w:w="440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xlsxwriter</w:t>
            </w:r>
          </w:p>
        </w:tc>
        <w:tc>
          <w:tcPr>
            <w:tcW w:type="dxa" w:w="5220"/>
            <w:shd w:fill="EDEFF1" w:color="auto" w:val="clear"/>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3.2.9</w:t>
            </w:r>
          </w:p>
        </w:tc>
      </w:tr>
      <w:tr>
        <w:tc>
          <w:tcPr>
            <w:tcW w:type="dxa" w:w="440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nbconvert</w:t>
            </w:r>
          </w:p>
        </w:tc>
        <w:tc>
          <w:tcPr>
            <w:tcW w:type="dxa" w:w="5220"/>
            <w:tcMar>
              <w:top w:type="dxa" w:w="90"/>
              <w:left w:type="dxa" w:w="130"/>
              <w:bottom w:type="dxa" w:w="90"/>
              <w:right w:type="dxa" w:w="130"/>
            </w:tcMar>
            <w:vAlign w:val="center"/>
          </w:tcPr>
          <w:p>
            <w:r>
              <w:rPr>
                <w:rFonts w:ascii="Calibri" w:cs="Calibri" w:eastAsia="Calibri" w:hAnsi="Calibri"/>
                <w:b w:val="false"/>
                <w:bCs w:val="false"/>
                <w:color w:val="222222"/>
                <w:sz w:val="19"/>
                <w:szCs w:val="19"/>
              </w:rPr>
              <w:t xml:space="preserve">7.17.1</w:t>
            </w:r>
          </w:p>
        </w:tc>
      </w:tr>
    </w:tbl>
    <w:p>
      <w:pPr>
        <w:spacing w:before="200"/>
      </w:pPr>
    </w:p>
    <w:p>
      <w:pPr>
        <w:spacing w:after="160" w:line="300"/>
      </w:pPr>
      <w:r>
        <w:rPr>
          <w:rFonts w:ascii="Calibri" w:cs="Calibri" w:eastAsia="Calibri" w:hAnsi="Calibri"/>
          <w:b/>
          <w:bCs/>
          <w:i w:val="false"/>
          <w:iCs w:val="false"/>
          <w:color w:val="222222"/>
          <w:sz w:val="21"/>
          <w:szCs w:val="21"/>
        </w:rPr>
        <w:t xml:space="preserve">Pour exécuter le notebook : </w:t>
      </w:r>
    </w:p>
    <w:p>
      <w:pPr>
        <w:shd w:fill="EDEFF1" w:color="auto" w:val="clear"/>
        <w:spacing w:after="200"/>
      </w:pPr>
      <w:r>
        <w:rPr>
          <w:rFonts w:ascii="Consolas" w:cs="Consolas" w:eastAsia="Consolas" w:hAnsi="Consolas"/>
          <w:color w:val="2B2B2B"/>
          <w:sz w:val="17"/>
          <w:szCs w:val="17"/>
        </w:rPr>
        <w:t xml:space="preserve">python3 -m venv .venv_notebook &amp;&amp; source .venv_notebook/bin/activate &amp;&amp; pip install jupyter nbconvert pandas numpy scikit-learn scipy openpyxl matplotlib seaborn plotly xlsxwriter &amp;&amp; jupyter nbconvert --to notebook --execute --inplace Belkacemi_Kawtar_1_notebook_V2_AMELIORE.ipynb</w:t>
      </w:r>
    </w:p>
    <w:p>
      <w:pPr>
        <w:spacing w:after="160" w:line="300"/>
      </w:pPr>
      <w:r>
        <w:rPr>
          <w:rFonts w:ascii="Calibri" w:cs="Calibri" w:eastAsia="Calibri" w:hAnsi="Calibri"/>
          <w:b/>
          <w:bCs/>
          <w:i w:val="false"/>
          <w:iCs w:val="false"/>
          <w:color w:val="222222"/>
          <w:sz w:val="21"/>
          <w:szCs w:val="21"/>
        </w:rPr>
        <w:t xml:space="preserve">Temps d'exécution réel (Run All, poste standard) : </w:t>
      </w:r>
      <w:r>
        <w:rPr>
          <w:rFonts w:ascii="Calibri" w:cs="Calibri" w:eastAsia="Calibri" w:hAnsi="Calibri"/>
          <w:b w:val="false"/>
          <w:bCs w:val="false"/>
          <w:i w:val="false"/>
          <w:iCs w:val="false"/>
          <w:color w:val="222222"/>
          <w:sz w:val="21"/>
          <w:szCs w:val="21"/>
        </w:rPr>
        <w:t xml:space="preserve">environ 5 secondes. Très en dessous de la cible de 5 minutes fixée en critère de réussite opérationnel.</w:t>
      </w:r>
    </w:p>
    <w:p>
      <w:pPr>
        <w:pStyle w:val="Heading1"/>
        <w:pBdr>
          <w:bottom w:val="single" w:color="1F7A8C" w:sz="6" w:space="6"/>
        </w:pBdr>
        <w:spacing w:after="200" w:before="420"/>
      </w:pPr>
      <w:r>
        <w:rPr>
          <w:rFonts w:ascii="Calibri" w:cs="Calibri" w:eastAsia="Calibri" w:hAnsi="Calibri"/>
          <w:b/>
          <w:bCs/>
          <w:color w:val="134652"/>
          <w:sz w:val="30"/>
          <w:szCs w:val="30"/>
        </w:rPr>
        <w:t xml:space="preserve">7. Synthèse recruteur / client</w:t>
      </w:r>
    </w:p>
    <w:p>
      <w:pPr>
        <w:spacing w:before="200"/>
      </w:pPr>
    </w:p>
    <w:tbl>
      <w:tblPr>
        <w:tblW w:type="dxa" w:w="9648"/>
        <w:tblBorders>
          <w:top w:val="single" w:color="1F7A8C" w:sz="4"/>
          <w:left w:val="single" w:color="1F7A8C" w:sz="24"/>
          <w:bottom w:val="single" w:color="1F7A8C" w:sz="4"/>
          <w:right w:val="single" w:color="1F7A8C" w:sz="4"/>
          <w:insideH w:val="none" w:color="FFFFFF" w:sz="0"/>
          <w:insideV w:val="none" w:color="FFFFFF" w:sz="0"/>
        </w:tblBorders>
      </w:tblPr>
      <w:tblGrid>
        <w:gridCol w:w="9648"/>
      </w:tblGrid>
      <w:tr>
        <w:tc>
          <w:tcPr>
            <w:tcW w:type="dxa" w:w="9648"/>
            <w:shd w:fill="FBF3EF" w:color="auto" w:val="clear"/>
            <w:tcMar>
              <w:top w:type="dxa" w:w="160"/>
              <w:left w:type="dxa" w:w="220"/>
              <w:bottom w:type="dxa" w:w="160"/>
              <w:right w:type="dxa" w:w="220"/>
            </w:tcMar>
          </w:tcPr>
          <w:p>
            <w:pPr>
              <w:spacing w:after="40"/>
            </w:pPr>
            <w:r>
              <w:rPr>
                <w:rFonts w:ascii="Calibri" w:cs="Calibri" w:eastAsia="Calibri" w:hAnsi="Calibri"/>
                <w:b/>
                <w:bCs/>
                <w:color w:val="1F7A8C"/>
                <w:spacing w:val="15"/>
                <w:sz w:val="17"/>
                <w:szCs w:val="17"/>
              </w:rPr>
              <w:t xml:space="preserve">SYNTHÈSE</w:t>
            </w:r>
          </w:p>
          <w:p>
            <w:r>
              <w:rPr>
                <w:rFonts w:ascii="Calibri" w:cs="Calibri" w:eastAsia="Calibri" w:hAnsi="Calibri"/>
                <w:i/>
                <w:iCs/>
                <w:color w:val="2B2B2B"/>
                <w:sz w:val="21"/>
                <w:szCs w:val="21"/>
              </w:rPr>
              <w:t xml:space="preserve">Ce projet fiabilise et enrichit l'analyse du catalogue e-commerce du caviste Bottleneck (825 références ERP, 714 références web actives) en croisant stock, prix et ventes issus de deux systèmes distincts. Après correction des problèmes de portabilité et de code mort du notebook original, deux méthodes d'analyse avancées ont été ajoutées sans toucher aux analyses existantes : une détection d'anomalies multivariée par Isolation Forest, calibrée objectivement sur la méthode univariée déjà en place, et une validation statistique (Pearson + Spearman, p-values) des corrélations lues sur la heatmap. Résultats clés : 19 articles présentent une combinaison stock/ventes anormale invisible à une simple analyse de prix (sur 32 détectés au total, pour un recouvrement de 23,64 % avec les 36 outliers de prix déjà connus) ; les tests statistiques confirment la fiabilité des corrélations tarifaires déjà identifiées et révèlent une relation monotone forte entre stock et prix d'achat (Spearman r = -0,55, p &lt; 0,0001) invisible au coefficient de Pearson classique (r = -0,02). La valorisation du stock, recalculée sur le prix d'achat, s'élève à 298 540,07 € pour 17 803 unités. Le notebook s'exécute intégralement sans erreur en environ 5 secondes sur un poste standard (0 erreur sur 92 cellules de code) ; un bug de formatage bloquant l'exécution a été détecté et corrigé au cours de ce travail, épisode volontairement documenté en Étape 4 (§3bis) comme illustration concrète de la nécessité de vérifier, et non seulement relire, un livrable amélioré par l'IA.</w:t>
            </w:r>
          </w:p>
        </w:tc>
      </w:tr>
    </w:tbl>
    <w:p>
      <w:pPr>
        <w:spacing w:before="260"/>
      </w:pPr>
    </w:p>
    <w:p>
      <w:pPr>
        <w:pStyle w:val="Heading2"/>
        <w:spacing w:after="140" w:before="300"/>
      </w:pPr>
      <w:r>
        <w:rPr>
          <w:rFonts w:ascii="Calibri" w:cs="Calibri" w:eastAsia="Calibri" w:hAnsi="Calibri"/>
          <w:b/>
          <w:bCs/>
          <w:color w:val="134652"/>
          <w:sz w:val="24"/>
          <w:szCs w:val="24"/>
        </w:rPr>
        <w:t xml:space="preserve">Recommandations pour la suite</w:t>
      </w:r>
    </w:p>
    <w:p>
      <w:pPr>
        <w:pStyle w:val="ListParagraph"/>
        <w:numPr>
          <w:ilvl w:val="0"/>
          <w:numId w:val="1"/>
        </w:numPr>
        <w:spacing w:after="100" w:line="290"/>
      </w:pPr>
      <w:r>
        <w:rPr>
          <w:rFonts w:ascii="Calibri" w:cs="Calibri" w:eastAsia="Calibri" w:hAnsi="Calibri"/>
          <w:color w:val="222222"/>
          <w:sz w:val="21"/>
          <w:szCs w:val="21"/>
        </w:rPr>
        <w:t xml:space="preserve">Faire auditer manuellement par le contrôle de gestion les 19 anomalies stock/ventes détectées ainsi que l'article au taux de marge négatif (-84 %) avant toute décision automatisée</w:t>
      </w:r>
    </w:p>
    <w:p>
      <w:pPr>
        <w:pStyle w:val="ListParagraph"/>
        <w:numPr>
          <w:ilvl w:val="0"/>
          <w:numId w:val="1"/>
        </w:numPr>
        <w:spacing w:after="100" w:line="290"/>
      </w:pPr>
      <w:r>
        <w:rPr>
          <w:rFonts w:ascii="Calibri" w:cs="Calibri" w:eastAsia="Calibri" w:hAnsi="Calibri"/>
          <w:color w:val="222222"/>
          <w:sz w:val="21"/>
          <w:szCs w:val="21"/>
        </w:rPr>
        <w:t xml:space="preserve">Tester Local Outlier Factor pour détecter des anomalies propres à chaque famille de produits plutôt qu'au catalogue global</w:t>
      </w:r>
    </w:p>
    <w:p>
      <w:pPr>
        <w:pStyle w:val="ListParagraph"/>
        <w:numPr>
          <w:ilvl w:val="0"/>
          <w:numId w:val="1"/>
        </w:numPr>
        <w:spacing w:after="100" w:line="290"/>
      </w:pPr>
      <w:r>
        <w:rPr>
          <w:rFonts w:ascii="Calibri" w:cs="Calibri" w:eastAsia="Calibri" w:hAnsi="Calibri"/>
          <w:color w:val="222222"/>
          <w:sz w:val="21"/>
          <w:szCs w:val="21"/>
        </w:rPr>
        <w:t xml:space="preserve">Enrichir les données sources d'un horodatage des ventes pour permettre une analyse de tendance, actuellement impossible faute de dimension temporelle</w:t>
      </w:r>
    </w:p>
    <w:sectPr>
      <w:headerReference w:type="default" r:id="rId7"/>
      <w:footerReference w:type="default" r:id="rId8"/>
      <w:pgSz w:w="12240" w:h="15840"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5F63"/>
        <w:sz w:val="15"/>
        <w:szCs w:val="15"/>
      </w:rPr>
      <w:t xml:space="preserve">Kawtar Belkacemi · Data Analyst — OpenClassrooms · </w:t>
    </w:r>
    <w:r>
      <w:rPr>
        <w:rFonts w:ascii="Calibri" w:cs="Calibri" w:eastAsia="Calibri" w:hAnsi="Calibri"/>
        <w:color w:val="5B5F63"/>
        <w:sz w:val="15"/>
        <w:szCs w:val="15"/>
      </w:rPr>
      <w:t xml:space="preserve">Page </w:t>
    </w:r>
    <w:r>
      <w:rPr>
        <w:rFonts w:ascii="Calibri" w:cs="Calibri" w:eastAsia="Calibri" w:hAnsi="Calibri"/>
        <w:color w:val="5B5F63"/>
        <w:sz w:val="15"/>
        <w:szCs w:val="15"/>
      </w:rPr>
      <w:fldChar w:fldCharType="begin"/>
      <w:instrText xml:space="preserve">PAGE</w:instrText>
      <w:fldChar w:fldCharType="separate"/>
      <w:fldChar w:fldCharType="end"/>
    </w:r>
    <w:r>
      <w:rPr>
        <w:rFonts w:ascii="Calibri" w:cs="Calibri" w:eastAsia="Calibri" w:hAnsi="Calibri"/>
        <w:color w:val="5B5F63"/>
        <w:sz w:val="15"/>
        <w:szCs w:val="15"/>
      </w:rPr>
      <w:t xml:space="preserve"> / </w:t>
    </w:r>
    <w:r>
      <w:rPr>
        <w:rFonts w:ascii="Calibri" w:cs="Calibri" w:eastAsia="Calibri" w:hAnsi="Calibri"/>
        <w:color w:val="5B5F63"/>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8DB" w:sz="4" w:space="4"/>
      </w:pBdr>
      <w:tabs>
        <w:tab w:val="right" w:pos="9026"/>
      </w:tabs>
    </w:pPr>
    <w:r>
      <w:rPr>
        <w:rFonts w:ascii="Calibri" w:cs="Calibri" w:eastAsia="Calibri" w:hAnsi="Calibri"/>
        <w:color w:val="5B5F63"/>
        <w:sz w:val="15"/>
        <w:szCs w:val="15"/>
      </w:rPr>
      <w:t xml:space="preserve">BOTTLENECK — Mission 1 Partie 1</w:t>
    </w:r>
    <w:r>
      <w:rPr>
        <w:rFonts w:ascii="Calibri" w:cs="Calibri" w:eastAsia="Calibri" w:hAnsi="Calibri"/>
        <w:b/>
        <w:bCs/>
        <w:color w:val="1F7A8C"/>
        <w:sz w:val="15"/>
        <w:szCs w:val="15"/>
      </w:rPr>
      <w:t xml:space="preserve">	README.docx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2026-08-05T08:38:03.168Z</dcterms:created>
  <dcterms:modified xsi:type="dcterms:W3CDTF">2026-08-05T08:38:03.169Z</dcterms:modified>
</cp:coreProperties>
</file>

<file path=docProps/custom.xml><?xml version="1.0" encoding="utf-8"?>
<Properties xmlns="http://schemas.openxmlformats.org/officeDocument/2006/custom-properties" xmlns:vt="http://schemas.openxmlformats.org/officeDocument/2006/docPropsVTypes"/>
</file>