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rFonts w:ascii="Calibri" w:cs="Calibri" w:eastAsia="Calibri" w:hAnsi="Calibri"/>
          <w:b/>
          <w:bCs/>
          <w:color w:val="E8622C"/>
          <w:spacing w:val="20"/>
          <w:sz w:val="20"/>
          <w:szCs w:val="20"/>
        </w:rPr>
        <w:t xml:space="preserve">ÉTAPE 2</w:t>
      </w:r>
    </w:p>
    <w:p>
      <w:pPr>
        <w:spacing w:after="120"/>
      </w:pPr>
      <w:r>
        <w:rPr>
          <w:rFonts w:ascii="Calibri" w:cs="Calibri" w:eastAsia="Calibri" w:hAnsi="Calibri"/>
          <w:b/>
          <w:bCs/>
          <w:color w:val="134652"/>
          <w:sz w:val="52"/>
          <w:szCs w:val="52"/>
        </w:rPr>
        <w:t xml:space="preserve">Cahier des charges fonctionnel</w:t>
      </w:r>
    </w:p>
    <w:p>
      <w:pPr>
        <w:pBdr>
          <w:bottom w:val="single" w:color="1F7A8C" w:sz="12" w:space="12"/>
        </w:pBdr>
        <w:spacing w:after="260"/>
      </w:pPr>
      <w:r>
        <w:rPr>
          <w:rFonts w:ascii="Calibri" w:cs="Calibri" w:eastAsia="Calibri" w:hAnsi="Calibri"/>
          <w:i/>
          <w:iCs/>
          <w:color w:val="5B5F63"/>
          <w:sz w:val="24"/>
          <w:szCs w:val="24"/>
        </w:rPr>
        <w:t xml:space="preserve">Fiabilisation et enrichissement de l'analyse stock / ventes Bottleneck</w:t>
      </w:r>
    </w:p>
    <w:p>
      <w:pPr>
        <w:spacing w:after="40"/>
      </w:pPr>
      <w:r>
        <w:rPr>
          <w:rFonts w:ascii="Calibri" w:cs="Calibri" w:eastAsia="Calibri" w:hAnsi="Calibri"/>
          <w:b/>
          <w:bCs/>
          <w:color w:val="134652"/>
          <w:sz w:val="18"/>
          <w:szCs w:val="18"/>
        </w:rPr>
        <w:t xml:space="preserve">BOTTLENECK</w:t>
      </w:r>
      <w:r>
        <w:rPr>
          <w:rFonts w:ascii="Calibri" w:cs="Calibri" w:eastAsia="Calibri" w:hAnsi="Calibri"/>
          <w:color w:val="5B5F63"/>
          <w:sz w:val="18"/>
          <w:szCs w:val="18"/>
        </w:rPr>
        <w:t xml:space="preserve">  ·  Mission 1 — Partie 1  ·  Amélioration critique du livrable Projet 6</w:t>
      </w:r>
    </w:p>
    <w:p>
      <w:pPr>
        <w:spacing w:after="480"/>
      </w:pPr>
      <w:r>
        <w:rPr>
          <w:rFonts w:ascii="Calibri" w:cs="Calibri" w:eastAsia="Calibri" w:hAnsi="Calibri"/>
          <w:color w:val="5B5F63"/>
          <w:sz w:val="18"/>
          <w:szCs w:val="18"/>
        </w:rPr>
        <w:t xml:space="preserve">Kawtar Belkacemi</w:t>
      </w:r>
      <w:r>
        <w:rPr>
          <w:rFonts w:ascii="Calibri" w:cs="Calibri" w:eastAsia="Calibri" w:hAnsi="Calibri"/>
          <w:color w:val="5B5F63"/>
          <w:sz w:val="18"/>
          <w:szCs w:val="18"/>
        </w:rPr>
        <w:t xml:space="preserve">   ·   Formation Data Analyst — OpenClassrooms   ·   Juillet 2026</w:t>
      </w:r>
    </w:p>
    <w:p>
      <w:pPr>
        <w:pStyle w:val="Heading1"/>
        <w:pBdr>
          <w:bottom w:val="single" w:color="1F7A8C" w:sz="6" w:space="6"/>
        </w:pBdr>
        <w:spacing w:after="200" w:before="420"/>
      </w:pPr>
      <w:r>
        <w:rPr>
          <w:rFonts w:ascii="Calibri" w:cs="Calibri" w:eastAsia="Calibri" w:hAnsi="Calibri"/>
          <w:b/>
          <w:bCs/>
          <w:color w:val="134652"/>
          <w:sz w:val="30"/>
          <w:szCs w:val="30"/>
        </w:rPr>
        <w:t xml:space="preserve">1. Contexte &amp; parties prenantes</w:t>
      </w:r>
    </w:p>
    <w:p>
      <w:pPr>
        <w:spacing w:after="160" w:line="300"/>
      </w:pPr>
      <w:r>
        <w:rPr>
          <w:rFonts w:ascii="Calibri" w:cs="Calibri" w:eastAsia="Calibri" w:hAnsi="Calibri"/>
          <w:b w:val="false"/>
          <w:bCs w:val="false"/>
          <w:i w:val="false"/>
          <w:iCs w:val="false"/>
          <w:color w:val="222222"/>
          <w:sz w:val="21"/>
          <w:szCs w:val="21"/>
        </w:rPr>
        <w:t xml:space="preserve">Bottleneck est un caviste en ligne dont le système d'information est éclaté en deux briques : un ERP (erp.xlsx) qui gère prix d'achat, prix de vente et stock, et un CMS e-commerce (web.xlsx) qui gère le catalogue et les ventes en ligne, les deux étant reliés par une table de correspondance (liaison.xlsx).</w:t>
      </w:r>
    </w:p>
    <w:tbl>
      <w:tblPr>
        <w:tblW w:type="dxa" w:w="9648"/>
        <w:tblBorders>
          <w:top w:val="single" w:color="D5D8DB" w:sz="4"/>
          <w:left w:val="single" w:color="D5D8DB" w:sz="4"/>
          <w:bottom w:val="single" w:color="D5D8DB" w:sz="4"/>
          <w:right w:val="single" w:color="D5D8DB" w:sz="4"/>
          <w:insideH w:val="single" w:color="D5D8DB" w:sz="4"/>
          <w:insideV w:val="single" w:color="D5D8DB" w:sz="4"/>
        </w:tblBorders>
      </w:tblPr>
      <w:tblGrid>
        <w:gridCol w:w="3400"/>
        <w:gridCol w:w="6220"/>
      </w:tblGrid>
      <w:tr>
        <w:trPr>
          <w:tblHeader/>
        </w:trPr>
        <w:tc>
          <w:tcPr>
            <w:tcW w:type="dxa" w:w="34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Partie prenante</w:t>
            </w:r>
          </w:p>
        </w:tc>
        <w:tc>
          <w:tcPr>
            <w:tcW w:type="dxa" w:w="622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Utilisation de l'analyse</w:t>
            </w:r>
          </w:p>
        </w:tc>
      </w:tr>
      <w:tr>
        <w:tc>
          <w:tcPr>
            <w:tcW w:type="dxa" w:w="3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Direction commerciale / e-commerce</w:t>
            </w:r>
          </w:p>
        </w:tc>
        <w:tc>
          <w:tcPr>
            <w:tcW w:type="dxa" w:w="6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CA par article, palmarès Top 20, règle des 80/20 (Pareto) sur CA et quantités, pour prioriser mises en avant et négociations fournisseurs</w:t>
            </w:r>
          </w:p>
        </w:tc>
      </w:tr>
      <w:tr>
        <w:tc>
          <w:tcPr>
            <w:tcW w:type="dxa" w:w="3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Supply chain / gestion des stocks</w:t>
            </w:r>
          </w:p>
        </w:tc>
        <w:tc>
          <w:tcPr>
            <w:tcW w:type="dxa" w:w="6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Rotation de stock, valorisation du stock (au prix d'achat) et anomalies stock/ventes, pour décider réassorts et déstockages</w:t>
            </w:r>
          </w:p>
        </w:tc>
      </w:tr>
      <w:tr>
        <w:tc>
          <w:tcPr>
            <w:tcW w:type="dxa" w:w="3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Contrôle de gestion / finance</w:t>
            </w:r>
          </w:p>
        </w:tc>
        <w:tc>
          <w:tcPr>
            <w:tcW w:type="dxa" w:w="6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Taux de marge par article et par type de produit, pour arbitrer les priorités catalogue</w:t>
            </w:r>
          </w:p>
        </w:tc>
      </w:tr>
      <w:tr>
        <w:tc>
          <w:tcPr>
            <w:tcW w:type="dxa" w:w="3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Direction des systèmes d'information</w:t>
            </w:r>
          </w:p>
        </w:tc>
        <w:tc>
          <w:tcPr>
            <w:tcW w:type="dxa" w:w="6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Taux d'articles non appariés ERP/web, révélateur de la qualité de synchronisation</w:t>
            </w:r>
          </w:p>
        </w:tc>
      </w:tr>
    </w:tbl>
    <w:p>
      <w:pPr>
        <w:pStyle w:val="Heading1"/>
        <w:pBdr>
          <w:bottom w:val="single" w:color="1F7A8C" w:sz="6" w:space="6"/>
        </w:pBdr>
        <w:spacing w:after="200" w:before="420"/>
      </w:pPr>
      <w:r>
        <w:rPr>
          <w:rFonts w:ascii="Calibri" w:cs="Calibri" w:eastAsia="Calibri" w:hAnsi="Calibri"/>
          <w:b/>
          <w:bCs/>
          <w:color w:val="134652"/>
          <w:sz w:val="30"/>
          <w:szCs w:val="30"/>
        </w:rPr>
        <w:t xml:space="preserve">2. Problématique métier reformulée</w:t>
      </w:r>
    </w:p>
    <w:p>
      <w:pPr>
        <w:spacing w:after="200"/>
      </w:pPr>
    </w:p>
    <w:tbl>
      <w:tblPr>
        <w:tblW w:type="dxa" w:w="9648"/>
        <w:tblBorders>
          <w:top w:val="single" w:color="E8622C" w:sz="4"/>
          <w:left w:val="single" w:color="E8622C" w:sz="24"/>
          <w:bottom w:val="single" w:color="E8622C" w:sz="4"/>
          <w:right w:val="single" w:color="E8622C" w:sz="4"/>
          <w:insideH w:val="none" w:color="FFFFFF" w:sz="0"/>
          <w:insideV w:val="none" w:color="FFFFFF" w:sz="0"/>
        </w:tblBorders>
      </w:tblPr>
      <w:tblGrid>
        <w:gridCol w:w="9648"/>
      </w:tblGrid>
      <w:tr>
        <w:tc>
          <w:tcPr>
            <w:tcW w:type="dxa" w:w="9648"/>
            <w:shd w:fill="FBF3EF" w:color="auto" w:val="clear"/>
            <w:tcMar>
              <w:top w:type="dxa" w:w="160"/>
              <w:left w:type="dxa" w:w="220"/>
              <w:bottom w:type="dxa" w:w="160"/>
              <w:right w:type="dxa" w:w="220"/>
            </w:tcMar>
          </w:tcPr>
          <w:p>
            <w:pPr>
              <w:spacing w:after="40"/>
            </w:pPr>
            <w:r>
              <w:rPr>
                <w:rFonts w:ascii="Calibri" w:cs="Calibri" w:eastAsia="Calibri" w:hAnsi="Calibri"/>
                <w:b/>
                <w:bCs/>
                <w:color w:val="E8622C"/>
                <w:spacing w:val="15"/>
                <w:sz w:val="17"/>
                <w:szCs w:val="17"/>
              </w:rPr>
              <w:t xml:space="preserve">PROBLÉMATIQUE</w:t>
            </w:r>
          </w:p>
          <w:p>
            <w:r>
              <w:rPr>
                <w:rFonts w:ascii="Calibri" w:cs="Calibri" w:eastAsia="Calibri" w:hAnsi="Calibri"/>
                <w:i/>
                <w:iCs/>
                <w:color w:val="2B2B2B"/>
                <w:sz w:val="21"/>
                <w:szCs w:val="21"/>
              </w:rPr>
              <w:t xml:space="preserve">Comment fiabiliser le rapprochement entre les données ERP (stock, prix d'achat) et les données du site web (catalogue, ventes), afin de produire des indicateurs de chiffre d'affaires, de rotation de stock et de marge fiables, et détecter, au-delà des simples erreurs de prix, les anomalies de gestion qu'une lecture univariée du prix ne permet pas de voir ?</w:t>
            </w:r>
          </w:p>
        </w:tc>
      </w:tr>
    </w:tbl>
    <w:p>
      <w:pPr>
        <w:pStyle w:val="Heading1"/>
        <w:pBdr>
          <w:bottom w:val="single" w:color="1F7A8C" w:sz="6" w:space="6"/>
        </w:pBdr>
        <w:spacing w:after="200" w:before="420"/>
      </w:pPr>
      <w:r>
        <w:rPr>
          <w:rFonts w:ascii="Calibri" w:cs="Calibri" w:eastAsia="Calibri" w:hAnsi="Calibri"/>
          <w:b/>
          <w:bCs/>
          <w:color w:val="134652"/>
          <w:sz w:val="30"/>
          <w:szCs w:val="30"/>
        </w:rPr>
        <w:t xml:space="preserve">3. Périmètre</w:t>
      </w:r>
    </w:p>
    <w:p>
      <w:pPr>
        <w:pStyle w:val="Heading2"/>
        <w:spacing w:after="140" w:before="300"/>
      </w:pPr>
      <w:r>
        <w:rPr>
          <w:rFonts w:ascii="Calibri" w:cs="Calibri" w:eastAsia="Calibri" w:hAnsi="Calibri"/>
          <w:b/>
          <w:bCs/>
          <w:color w:val="134652"/>
          <w:sz w:val="24"/>
          <w:szCs w:val="24"/>
        </w:rPr>
        <w:t xml:space="preserve">Ce qui est traité</w:t>
      </w:r>
    </w:p>
    <w:p>
      <w:pPr>
        <w:pStyle w:val="ListParagraph"/>
        <w:numPr>
          <w:ilvl w:val="0"/>
          <w:numId w:val="1"/>
        </w:numPr>
        <w:spacing w:after="100" w:line="290"/>
      </w:pPr>
      <w:r>
        <w:rPr>
          <w:rFonts w:ascii="Calibri" w:cs="Calibri" w:eastAsia="Calibri" w:hAnsi="Calibri"/>
          <w:b/>
          <w:bCs/>
          <w:color w:val="222222"/>
          <w:sz w:val="21"/>
          <w:szCs w:val="21"/>
        </w:rPr>
        <w:t xml:space="preserve"/>
      </w:r>
      <w:r>
        <w:rPr>
          <w:rFonts w:ascii="Calibri" w:cs="Calibri" w:eastAsia="Calibri" w:hAnsi="Calibri"/>
          <w:color w:val="222222"/>
          <w:sz w:val="21"/>
          <w:szCs w:val="21"/>
        </w:rPr>
        <w:t xml:space="preserve">Données catalogue et transactionnelles agrégées par article : prix de vente, prix d'achat, quantité en stock, quantité vendue, statut de mise en vente</w:t>
      </w:r>
    </w:p>
    <w:p>
      <w:pPr>
        <w:pStyle w:val="ListParagraph"/>
        <w:numPr>
          <w:ilvl w:val="0"/>
          <w:numId w:val="1"/>
        </w:numPr>
        <w:spacing w:after="100" w:line="290"/>
      </w:pPr>
      <w:r>
        <w:rPr>
          <w:rFonts w:ascii="Calibri" w:cs="Calibri" w:eastAsia="Calibri" w:hAnsi="Calibri"/>
          <w:b/>
          <w:bCs/>
          <w:color w:val="222222"/>
          <w:sz w:val="21"/>
          <w:szCs w:val="21"/>
        </w:rPr>
        <w:t xml:space="preserve"/>
      </w:r>
      <w:r>
        <w:rPr>
          <w:rFonts w:ascii="Calibri" w:cs="Calibri" w:eastAsia="Calibri" w:hAnsi="Calibri"/>
          <w:color w:val="222222"/>
          <w:sz w:val="21"/>
          <w:szCs w:val="21"/>
        </w:rPr>
        <w:t xml:space="preserve">Un instantané du catalogue à un instant T : 825 références ERP, 714 références actives côté web après nettoyage</w:t>
      </w:r>
    </w:p>
    <w:p>
      <w:pPr>
        <w:pStyle w:val="ListParagraph"/>
        <w:numPr>
          <w:ilvl w:val="0"/>
          <w:numId w:val="1"/>
        </w:numPr>
        <w:spacing w:after="100" w:line="290"/>
      </w:pPr>
      <w:r>
        <w:rPr>
          <w:rFonts w:ascii="Calibri" w:cs="Calibri" w:eastAsia="Calibri" w:hAnsi="Calibri"/>
          <w:b/>
          <w:bCs/>
          <w:color w:val="222222"/>
          <w:sz w:val="21"/>
          <w:szCs w:val="21"/>
        </w:rPr>
        <w:t xml:space="preserve"/>
      </w:r>
      <w:r>
        <w:rPr>
          <w:rFonts w:ascii="Calibri" w:cs="Calibri" w:eastAsia="Calibri" w:hAnsi="Calibri"/>
          <w:color w:val="222222"/>
          <w:sz w:val="21"/>
          <w:szCs w:val="21"/>
        </w:rPr>
        <w:t xml:space="preserve">Analyses univariées (prix, CA, quantités, marge, rotation) et une analyse multivariée (anomalies) et de corrélation</w:t>
      </w:r>
    </w:p>
    <w:p>
      <w:pPr>
        <w:pStyle w:val="Heading2"/>
        <w:spacing w:after="140" w:before="300"/>
      </w:pPr>
      <w:r>
        <w:rPr>
          <w:rFonts w:ascii="Calibri" w:cs="Calibri" w:eastAsia="Calibri" w:hAnsi="Calibri"/>
          <w:b/>
          <w:bCs/>
          <w:color w:val="134652"/>
          <w:sz w:val="24"/>
          <w:szCs w:val="24"/>
        </w:rPr>
        <w:t xml:space="preserve">Ce qui n'est explicitement pas traité</w:t>
      </w:r>
    </w:p>
    <w:p>
      <w:pPr>
        <w:pStyle w:val="ListParagraph"/>
        <w:numPr>
          <w:ilvl w:val="0"/>
          <w:numId w:val="1"/>
        </w:numPr>
        <w:spacing w:after="100" w:line="290"/>
      </w:pPr>
      <w:r>
        <w:rPr>
          <w:rFonts w:ascii="Calibri" w:cs="Calibri" w:eastAsia="Calibri" w:hAnsi="Calibri"/>
          <w:b/>
          <w:bCs/>
          <w:color w:val="222222"/>
          <w:sz w:val="21"/>
          <w:szCs w:val="21"/>
        </w:rPr>
        <w:t xml:space="preserve">Aucune série temporelle : </w:t>
      </w:r>
      <w:r>
        <w:rPr>
          <w:rFonts w:ascii="Calibri" w:cs="Calibri" w:eastAsia="Calibri" w:hAnsi="Calibri"/>
          <w:color w:val="222222"/>
          <w:sz w:val="21"/>
          <w:szCs w:val="21"/>
        </w:rPr>
        <w:t xml:space="preserve">aucune colonne de date exploitable ; total_sales est un cumul, pas un historique.</w:t>
      </w:r>
    </w:p>
    <w:p>
      <w:pPr>
        <w:pStyle w:val="ListParagraph"/>
        <w:numPr>
          <w:ilvl w:val="0"/>
          <w:numId w:val="1"/>
        </w:numPr>
        <w:spacing w:after="100" w:line="290"/>
      </w:pPr>
      <w:r>
        <w:rPr>
          <w:rFonts w:ascii="Calibri" w:cs="Calibri" w:eastAsia="Calibri" w:hAnsi="Calibri"/>
          <w:b/>
          <w:bCs/>
          <w:color w:val="222222"/>
          <w:sz w:val="21"/>
          <w:szCs w:val="21"/>
        </w:rPr>
        <w:t xml:space="preserve">Aucune donnée client : </w:t>
      </w:r>
      <w:r>
        <w:rPr>
          <w:rFonts w:ascii="Calibri" w:cs="Calibri" w:eastAsia="Calibri" w:hAnsi="Calibri"/>
          <w:color w:val="222222"/>
          <w:sz w:val="21"/>
          <w:szCs w:val="21"/>
        </w:rPr>
        <w:t xml:space="preserve">l'analyse reste au niveau de l'article (pas de segmentation client, panier moyen, LTV).</w:t>
      </w:r>
    </w:p>
    <w:p>
      <w:pPr>
        <w:pStyle w:val="ListParagraph"/>
        <w:numPr>
          <w:ilvl w:val="0"/>
          <w:numId w:val="1"/>
        </w:numPr>
        <w:spacing w:after="100" w:line="290"/>
      </w:pPr>
      <w:r>
        <w:rPr>
          <w:rFonts w:ascii="Calibri" w:cs="Calibri" w:eastAsia="Calibri" w:hAnsi="Calibri"/>
          <w:b/>
          <w:bCs/>
          <w:color w:val="222222"/>
          <w:sz w:val="21"/>
          <w:szCs w:val="21"/>
        </w:rPr>
        <w:t xml:space="preserve">Aucune donnée fournisseur/logistique détaillée : </w:t>
      </w:r>
      <w:r>
        <w:rPr>
          <w:rFonts w:ascii="Calibri" w:cs="Calibri" w:eastAsia="Calibri" w:hAnsi="Calibri"/>
          <w:color w:val="222222"/>
          <w:sz w:val="21"/>
          <w:szCs w:val="21"/>
        </w:rPr>
        <w:t xml:space="preserve">la valorisation se limite à quantité × prix d'achat.</w:t>
      </w:r>
    </w:p>
    <w:p>
      <w:pPr>
        <w:pStyle w:val="ListParagraph"/>
        <w:numPr>
          <w:ilvl w:val="0"/>
          <w:numId w:val="1"/>
        </w:numPr>
        <w:spacing w:after="100" w:line="290"/>
      </w:pPr>
      <w:r>
        <w:rPr>
          <w:rFonts w:ascii="Calibri" w:cs="Calibri" w:eastAsia="Calibri" w:hAnsi="Calibri"/>
          <w:b/>
          <w:bCs/>
          <w:color w:val="222222"/>
          <w:sz w:val="21"/>
          <w:szCs w:val="21"/>
        </w:rPr>
        <w:t xml:space="preserve">RGPD non applicable : </w:t>
      </w:r>
      <w:r>
        <w:rPr>
          <w:rFonts w:ascii="Calibri" w:cs="Calibri" w:eastAsia="Calibri" w:hAnsi="Calibri"/>
          <w:color w:val="222222"/>
          <w:sz w:val="21"/>
          <w:szCs w:val="21"/>
        </w:rPr>
        <w:t xml:space="preserve">aucune donnée à caractère personnel dans les 3 fichiers sources.</w:t>
      </w:r>
    </w:p>
    <w:p>
      <w:pPr>
        <w:pStyle w:val="Heading1"/>
        <w:pBdr>
          <w:bottom w:val="single" w:color="1F7A8C" w:sz="6" w:space="6"/>
        </w:pBdr>
        <w:spacing w:after="200" w:before="420"/>
      </w:pPr>
      <w:r>
        <w:rPr>
          <w:rFonts w:ascii="Calibri" w:cs="Calibri" w:eastAsia="Calibri" w:hAnsi="Calibri"/>
          <w:b/>
          <w:bCs/>
          <w:color w:val="134652"/>
          <w:sz w:val="30"/>
          <w:szCs w:val="30"/>
        </w:rPr>
        <w:t xml:space="preserve">4. Contraintes réelles observées</w:t>
      </w:r>
    </w:p>
    <w:tbl>
      <w:tblPr>
        <w:tblW w:type="dxa" w:w="9648"/>
        <w:tblBorders>
          <w:top w:val="single" w:color="D5D8DB" w:sz="4"/>
          <w:left w:val="single" w:color="D5D8DB" w:sz="4"/>
          <w:bottom w:val="single" w:color="D5D8DB" w:sz="4"/>
          <w:right w:val="single" w:color="D5D8DB" w:sz="4"/>
          <w:insideH w:val="single" w:color="D5D8DB" w:sz="4"/>
          <w:insideV w:val="single" w:color="D5D8DB" w:sz="4"/>
        </w:tblBorders>
      </w:tblPr>
      <w:tblGrid>
        <w:gridCol w:w="4200"/>
        <w:gridCol w:w="5420"/>
      </w:tblGrid>
      <w:tr>
        <w:trPr>
          <w:tblHeader/>
        </w:trPr>
        <w:tc>
          <w:tcPr>
            <w:tcW w:type="dxa" w:w="42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Constat</w:t>
            </w:r>
          </w:p>
        </w:tc>
        <w:tc>
          <w:tcPr>
            <w:tcW w:type="dxa" w:w="542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Valeur observée</w:t>
            </w:r>
          </w:p>
        </w:tc>
      </w:tr>
      <w:tr>
        <w:tc>
          <w:tcPr>
            <w:tcW w:type="dxa" w:w="42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Volumétrie catalogue ERP</w:t>
            </w:r>
          </w:p>
        </w:tc>
        <w:tc>
          <w:tcPr>
            <w:tcW w:type="dxa" w:w="54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825 références, 6 colonnes brutes</w:t>
            </w:r>
          </w:p>
        </w:tc>
      </w:tr>
      <w:tr>
        <w:tc>
          <w:tcPr>
            <w:tcW w:type="dxa" w:w="42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Volumétrie catalogue Web (après nettoyage)</w:t>
            </w:r>
          </w:p>
        </w:tc>
        <w:tc>
          <w:tcPr>
            <w:tcW w:type="dxa" w:w="54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714 références actives</w:t>
            </w:r>
          </w:p>
        </w:tc>
      </w:tr>
      <w:tr>
        <w:tc>
          <w:tcPr>
            <w:tcW w:type="dxa" w:w="42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Articles ERP sans correspondance id_web</w:t>
            </w:r>
          </w:p>
        </w:tc>
        <w:tc>
          <w:tcPr>
            <w:tcW w:type="dxa" w:w="54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91 articles</w:t>
            </w:r>
          </w:p>
        </w:tc>
      </w:tr>
      <w:tr>
        <w:tc>
          <w:tcPr>
            <w:tcW w:type="dxa" w:w="42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Lignes sans correspondance après jointure finale</w:t>
            </w:r>
          </w:p>
        </w:tc>
        <w:tc>
          <w:tcPr>
            <w:tcW w:type="dxa" w:w="54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111 lignes, soit 13,45 %</w:t>
            </w:r>
          </w:p>
        </w:tc>
      </w:tr>
      <w:tr>
        <w:tc>
          <w:tcPr>
            <w:tcW w:type="dxa" w:w="42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Articles outliers de prix (méthode IQR)</w:t>
            </w:r>
          </w:p>
        </w:tc>
        <w:tc>
          <w:tcPr>
            <w:tcW w:type="dxa" w:w="54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36 articles, soit 4,36 %</w:t>
            </w:r>
          </w:p>
        </w:tc>
      </w:tr>
      <w:tr>
        <w:tc>
          <w:tcPr>
            <w:tcW w:type="dxa" w:w="42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Taux de marge minimum observé</w:t>
            </w:r>
          </w:p>
        </w:tc>
        <w:tc>
          <w:tcPr>
            <w:tcW w:type="dxa" w:w="54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-84 % (au moins une référence vendue à perte)</w:t>
            </w:r>
          </w:p>
        </w:tc>
      </w:tr>
      <w:tr>
        <w:tc>
          <w:tcPr>
            <w:tcW w:type="dxa" w:w="42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Outillage</w:t>
            </w:r>
          </w:p>
        </w:tc>
        <w:tc>
          <w:tcPr>
            <w:tcW w:type="dxa" w:w="54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Python 3, pandas, plotly express, seaborn/matplotlib, scikit-learn, scipy — Jupyter Notebook</w:t>
            </w:r>
          </w:p>
        </w:tc>
      </w:tr>
      <w:tr>
        <w:tc>
          <w:tcPr>
            <w:tcW w:type="dxa" w:w="42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Conformité</w:t>
            </w:r>
          </w:p>
        </w:tc>
        <w:tc>
          <w:tcPr>
            <w:tcW w:type="dxa" w:w="54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Pas d'enjeu RGPD (aucune donnée personnelle dans le périmètre)</w:t>
            </w:r>
          </w:p>
        </w:tc>
      </w:tr>
    </w:tbl>
    <w:p>
      <w:pPr>
        <w:spacing w:after="160" w:line="300"/>
      </w:pPr>
      <w:r>
        <w:rPr>
          <w:rFonts w:ascii="Calibri" w:cs="Calibri" w:eastAsia="Calibri" w:hAnsi="Calibri"/>
          <w:b w:val="false"/>
          <w:bCs w:val="false"/>
          <w:i/>
          <w:iCs/>
          <w:color w:val="222222"/>
          <w:sz w:val="21"/>
          <w:szCs w:val="21"/>
        </w:rPr>
        <w:t xml:space="preserve">Un taux de non-appariement de 13,45 % est significatif : toute décision basée sur df_final doit être lue en sachant qu'elle ne couvre pas ~1 article sur 8 du catalogue ERP d'origine — c'est une limite structurelle du jeu de données, pas un défaut du traitement.</w:t>
      </w:r>
    </w:p>
    <w:p>
      <w:pPr>
        <w:pStyle w:val="Heading1"/>
        <w:pBdr>
          <w:bottom w:val="single" w:color="1F7A8C" w:sz="6" w:space="6"/>
        </w:pBdr>
        <w:spacing w:after="200" w:before="420"/>
      </w:pPr>
      <w:r>
        <w:rPr>
          <w:rFonts w:ascii="Calibri" w:cs="Calibri" w:eastAsia="Calibri" w:hAnsi="Calibri"/>
          <w:b/>
          <w:bCs/>
          <w:color w:val="134652"/>
          <w:sz w:val="30"/>
          <w:szCs w:val="30"/>
        </w:rPr>
        <w:t xml:space="preserve">5. Critères de réussite / KPI mesurables</w:t>
      </w:r>
    </w:p>
    <w:p>
      <w:pPr>
        <w:pStyle w:val="Heading2"/>
        <w:spacing w:after="140" w:before="300"/>
      </w:pPr>
      <w:r>
        <w:rPr>
          <w:rFonts w:ascii="Calibri" w:cs="Calibri" w:eastAsia="Calibri" w:hAnsi="Calibri"/>
          <w:b/>
          <w:bCs/>
          <w:color w:val="134652"/>
          <w:sz w:val="24"/>
          <w:szCs w:val="24"/>
        </w:rPr>
        <w:t xml:space="preserve">Côté data (qualité du pipeline)</w:t>
      </w:r>
    </w:p>
    <w:p>
      <w:pPr>
        <w:pStyle w:val="ListParagraph"/>
        <w:numPr>
          <w:ilvl w:val="0"/>
          <w:numId w:val="1"/>
        </w:numPr>
        <w:spacing w:after="100" w:line="290"/>
      </w:pPr>
      <w:r>
        <w:rPr>
          <w:rFonts w:ascii="Calibri" w:cs="Calibri" w:eastAsia="Calibri" w:hAnsi="Calibri"/>
          <w:color w:val="222222"/>
          <w:sz w:val="21"/>
          <w:szCs w:val="21"/>
        </w:rPr>
        <w:t xml:space="preserve">Taux de lignes non appariées après jointure toléré : ≤ 15 % (constat actuel : 13,45 %, conforme)</w:t>
      </w:r>
    </w:p>
    <w:p>
      <w:pPr>
        <w:pStyle w:val="ListParagraph"/>
        <w:numPr>
          <w:ilvl w:val="0"/>
          <w:numId w:val="1"/>
        </w:numPr>
        <w:spacing w:after="100" w:line="290"/>
      </w:pPr>
      <w:r>
        <w:rPr>
          <w:rFonts w:ascii="Calibri" w:cs="Calibri" w:eastAsia="Calibri" w:hAnsi="Calibri"/>
          <w:color w:val="222222"/>
          <w:sz w:val="21"/>
          <w:szCs w:val="21"/>
        </w:rPr>
        <w:t xml:space="preserve">Zéro prix négatif et zéro stock négatif résiduel après nettoyage</w:t>
      </w:r>
    </w:p>
    <w:p>
      <w:pPr>
        <w:pStyle w:val="ListParagraph"/>
        <w:numPr>
          <w:ilvl w:val="0"/>
          <w:numId w:val="1"/>
        </w:numPr>
        <w:spacing w:after="100" w:line="290"/>
      </w:pPr>
      <w:r>
        <w:rPr>
          <w:rFonts w:ascii="Calibri" w:cs="Calibri" w:eastAsia="Calibri" w:hAnsi="Calibri"/>
          <w:color w:val="222222"/>
          <w:sz w:val="21"/>
          <w:szCs w:val="21"/>
        </w:rPr>
        <w:t xml:space="preserve">Zéro doublon de sku après nettoyage de df_web_clean</w:t>
      </w:r>
    </w:p>
    <w:p>
      <w:pPr>
        <w:pStyle w:val="Heading2"/>
        <w:spacing w:after="140" w:before="300"/>
      </w:pPr>
      <w:r>
        <w:rPr>
          <w:rFonts w:ascii="Calibri" w:cs="Calibri" w:eastAsia="Calibri" w:hAnsi="Calibri"/>
          <w:b/>
          <w:bCs/>
          <w:color w:val="134652"/>
          <w:sz w:val="24"/>
          <w:szCs w:val="24"/>
        </w:rPr>
        <w:t xml:space="preserve">Côté modèle / insights</w:t>
      </w:r>
    </w:p>
    <w:p>
      <w:pPr>
        <w:pStyle w:val="ListParagraph"/>
        <w:numPr>
          <w:ilvl w:val="0"/>
          <w:numId w:val="1"/>
        </w:numPr>
        <w:spacing w:after="100" w:line="290"/>
      </w:pPr>
      <w:r>
        <w:rPr>
          <w:rFonts w:ascii="Calibri" w:cs="Calibri" w:eastAsia="Calibri" w:hAnsi="Calibri"/>
          <w:color w:val="222222"/>
          <w:sz w:val="21"/>
          <w:szCs w:val="21"/>
        </w:rPr>
        <w:t xml:space="preserve">Taux de recouvrement mesuré entre IQR (univarié) et Isolation Forest (multivarié)</w:t>
      </w:r>
    </w:p>
    <w:p>
      <w:pPr>
        <w:pStyle w:val="ListParagraph"/>
        <w:numPr>
          <w:ilvl w:val="0"/>
          <w:numId w:val="1"/>
        </w:numPr>
        <w:spacing w:after="100" w:line="290"/>
      </w:pPr>
      <w:r>
        <w:rPr>
          <w:rFonts w:ascii="Calibri" w:cs="Calibri" w:eastAsia="Calibri" w:hAnsi="Calibri"/>
          <w:color w:val="222222"/>
          <w:sz w:val="21"/>
          <w:szCs w:val="21"/>
        </w:rPr>
        <w:t xml:space="preserve">Chaque coefficient de corrélation accompagné d'une p-value ; seuil de significativité p &lt; 0,05</w:t>
      </w:r>
    </w:p>
    <w:p>
      <w:pPr>
        <w:pStyle w:val="Heading2"/>
        <w:spacing w:after="140" w:before="300"/>
      </w:pPr>
      <w:r>
        <w:rPr>
          <w:rFonts w:ascii="Calibri" w:cs="Calibri" w:eastAsia="Calibri" w:hAnsi="Calibri"/>
          <w:b/>
          <w:bCs/>
          <w:color w:val="134652"/>
          <w:sz w:val="24"/>
          <w:szCs w:val="24"/>
        </w:rPr>
        <w:t xml:space="preserve">Côté opérationnel</w:t>
      </w:r>
    </w:p>
    <w:p>
      <w:pPr>
        <w:pStyle w:val="ListParagraph"/>
        <w:numPr>
          <w:ilvl w:val="0"/>
          <w:numId w:val="1"/>
        </w:numPr>
        <w:spacing w:after="100" w:line="290"/>
      </w:pPr>
      <w:r>
        <w:rPr>
          <w:rFonts w:ascii="Calibri" w:cs="Calibri" w:eastAsia="Calibri" w:hAnsi="Calibri"/>
          <w:color w:val="222222"/>
          <w:sz w:val="21"/>
          <w:szCs w:val="21"/>
        </w:rPr>
        <w:t xml:space="preserve">Temps d'exécution complet du notebook (Run All) : cible &lt; 5 minutes sur poste standard</w:t>
      </w:r>
    </w:p>
    <w:p>
      <w:pPr>
        <w:pStyle w:val="ListParagraph"/>
        <w:numPr>
          <w:ilvl w:val="0"/>
          <w:numId w:val="1"/>
        </w:numPr>
        <w:spacing w:after="100" w:line="290"/>
      </w:pPr>
      <w:r>
        <w:rPr>
          <w:rFonts w:ascii="Calibri" w:cs="Calibri" w:eastAsia="Calibri" w:hAnsi="Calibri"/>
          <w:color w:val="222222"/>
          <w:sz w:val="21"/>
          <w:szCs w:val="21"/>
        </w:rPr>
        <w:t xml:space="preserve">Reproductibilité : chemins de fichiers relatifs, aucune dépendance à un environnement spécifique</w:t>
      </w:r>
    </w:p>
    <w:p>
      <w:pPr>
        <w:pStyle w:val="ListParagraph"/>
        <w:numPr>
          <w:ilvl w:val="0"/>
          <w:numId w:val="1"/>
        </w:numPr>
        <w:spacing w:after="100" w:line="290"/>
      </w:pPr>
      <w:r>
        <w:rPr>
          <w:rFonts w:ascii="Calibri" w:cs="Calibri" w:eastAsia="Calibri" w:hAnsi="Calibri"/>
          <w:color w:val="222222"/>
          <w:sz w:val="21"/>
          <w:szCs w:val="21"/>
        </w:rPr>
        <w:t xml:space="preserve">Paramètres aléatoires figés (random_state=42) pour des résultats identiques d'une exécution à l'autre</w:t>
      </w:r>
    </w:p>
    <w:p>
      <w:pPr>
        <w:pStyle w:val="Heading1"/>
        <w:pBdr>
          <w:bottom w:val="single" w:color="1F7A8C" w:sz="6" w:space="6"/>
        </w:pBdr>
        <w:spacing w:after="200" w:before="420"/>
      </w:pPr>
      <w:r>
        <w:rPr>
          <w:rFonts w:ascii="Calibri" w:cs="Calibri" w:eastAsia="Calibri" w:hAnsi="Calibri"/>
          <w:b/>
          <w:bCs/>
          <w:color w:val="134652"/>
          <w:sz w:val="30"/>
          <w:szCs w:val="30"/>
        </w:rPr>
        <w:t xml:space="preserve">6. Mini plan de formation — équipes métier non techniques</w:t>
      </w:r>
    </w:p>
    <w:p>
      <w:pPr>
        <w:spacing w:after="160" w:line="300"/>
      </w:pPr>
      <w:r>
        <w:rPr>
          <w:rFonts w:ascii="Calibri" w:cs="Calibri" w:eastAsia="Calibri" w:hAnsi="Calibri"/>
          <w:b/>
          <w:bCs/>
          <w:i w:val="false"/>
          <w:iCs w:val="false"/>
          <w:color w:val="222222"/>
          <w:sz w:val="21"/>
          <w:szCs w:val="21"/>
        </w:rPr>
        <w:t xml:space="preserve">Format : 1 atelier de 45 minutes en présentiel/visio + 1 support PDF exporté du notebook.</w:t>
      </w:r>
    </w:p>
    <w:tbl>
      <w:tblPr>
        <w:tblW w:type="dxa" w:w="9648"/>
        <w:tblBorders>
          <w:top w:val="single" w:color="D5D8DB" w:sz="4"/>
          <w:left w:val="single" w:color="D5D8DB" w:sz="4"/>
          <w:bottom w:val="single" w:color="D5D8DB" w:sz="4"/>
          <w:right w:val="single" w:color="D5D8DB" w:sz="4"/>
          <w:insideH w:val="single" w:color="D5D8DB" w:sz="4"/>
          <w:insideV w:val="single" w:color="D5D8DB" w:sz="4"/>
        </w:tblBorders>
      </w:tblPr>
      <w:tblGrid>
        <w:gridCol w:w="1600"/>
        <w:gridCol w:w="8020"/>
      </w:tblGrid>
      <w:tr>
        <w:trPr>
          <w:tblHeader/>
        </w:trPr>
        <w:tc>
          <w:tcPr>
            <w:tcW w:type="dxa" w:w="16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Durée</w:t>
            </w:r>
          </w:p>
        </w:tc>
        <w:tc>
          <w:tcPr>
            <w:tcW w:type="dxa" w:w="802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Contenu</w:t>
            </w:r>
          </w:p>
        </w:tc>
      </w:tr>
      <w:tr>
        <w:tc>
          <w:tcPr>
            <w:tcW w:type="dxa" w:w="16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5 min</w:t>
            </w:r>
          </w:p>
        </w:tc>
        <w:tc>
          <w:tcPr>
            <w:tcW w:type="dxa" w:w="80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Rappel du périmètre : ce que couvrent les données, ce qu'elles ne couvrent pas</w:t>
            </w:r>
          </w:p>
        </w:tc>
      </w:tr>
      <w:tr>
        <w:tc>
          <w:tcPr>
            <w:tcW w:type="dxa" w:w="16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10 min</w:t>
            </w:r>
          </w:p>
        </w:tc>
        <w:tc>
          <w:tcPr>
            <w:tcW w:type="dxa" w:w="80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Lecture des indicateurs clés : CA, règle des 80/20, rotation de stock, valorisation de stock (au prix d'achat)</w:t>
            </w:r>
          </w:p>
        </w:tc>
      </w:tr>
      <w:tr>
        <w:tc>
          <w:tcPr>
            <w:tcW w:type="dxa" w:w="16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10 min</w:t>
            </w:r>
          </w:p>
        </w:tc>
        <w:tc>
          <w:tcPr>
            <w:tcW w:type="dxa" w:w="80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Lecture de la section anomalies : outlier de prix (IQR) vs anomalie de gestion stock/ventes (Isolation Forest)</w:t>
            </w:r>
          </w:p>
        </w:tc>
      </w:tr>
      <w:tr>
        <w:tc>
          <w:tcPr>
            <w:tcW w:type="dxa" w:w="16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10 min</w:t>
            </w:r>
          </w:p>
        </w:tc>
        <w:tc>
          <w:tcPr>
            <w:tcW w:type="dxa" w:w="80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Lecture de la heatmap de corrélation et du tableau de significativité</w:t>
            </w:r>
          </w:p>
        </w:tc>
      </w:tr>
      <w:tr>
        <w:tc>
          <w:tcPr>
            <w:tcW w:type="dxa" w:w="16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10 min</w:t>
            </w:r>
          </w:p>
        </w:tc>
        <w:tc>
          <w:tcPr>
            <w:tcW w:type="dxa" w:w="80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Questions / cas d'usage métier des participants</w:t>
            </w:r>
          </w:p>
        </w:tc>
      </w:tr>
    </w:tbl>
    <w:p>
      <w:pPr>
        <w:pStyle w:val="Heading1"/>
        <w:pBdr>
          <w:bottom w:val="single" w:color="1F7A8C" w:sz="6" w:space="6"/>
        </w:pBdr>
        <w:spacing w:after="200" w:before="420"/>
      </w:pPr>
      <w:r>
        <w:rPr>
          <w:rFonts w:ascii="Calibri" w:cs="Calibri" w:eastAsia="Calibri" w:hAnsi="Calibri"/>
          <w:b/>
          <w:bCs/>
          <w:color w:val="134652"/>
          <w:sz w:val="30"/>
          <w:szCs w:val="30"/>
        </w:rPr>
        <w:t xml:space="preserve">7. Critères d'acceptation</w:t>
      </w:r>
    </w:p>
    <w:p>
      <w:pPr>
        <w:pStyle w:val="ListParagraph"/>
        <w:numPr>
          <w:ilvl w:val="0"/>
          <w:numId w:val="1"/>
        </w:numPr>
        <w:spacing w:after="100" w:line="290"/>
      </w:pPr>
      <w:r>
        <w:rPr>
          <w:rFonts w:ascii="Calibri" w:cs="Calibri" w:eastAsia="Calibri" w:hAnsi="Calibri"/>
          <w:b/>
          <w:bCs/>
          <w:color w:val="222222"/>
          <w:sz w:val="21"/>
          <w:szCs w:val="21"/>
        </w:rPr>
        <w:t xml:space="preserve">1. </w:t>
      </w:r>
      <w:r>
        <w:rPr>
          <w:rFonts w:ascii="Calibri" w:cs="Calibri" w:eastAsia="Calibri" w:hAnsi="Calibri"/>
          <w:color w:val="222222"/>
          <w:sz w:val="21"/>
          <w:szCs w:val="21"/>
        </w:rPr>
        <w:t xml:space="preserve">Le notebook V2 s'exécute intégralement (Run All) sans erreur, du premier au dernier cellule</w:t>
      </w:r>
    </w:p>
    <w:p>
      <w:pPr>
        <w:pStyle w:val="ListParagraph"/>
        <w:numPr>
          <w:ilvl w:val="0"/>
          <w:numId w:val="1"/>
        </w:numPr>
        <w:spacing w:after="100" w:line="290"/>
      </w:pPr>
      <w:r>
        <w:rPr>
          <w:rFonts w:ascii="Calibri" w:cs="Calibri" w:eastAsia="Calibri" w:hAnsi="Calibri"/>
          <w:b/>
          <w:bCs/>
          <w:color w:val="222222"/>
          <w:sz w:val="21"/>
          <w:szCs w:val="21"/>
        </w:rPr>
        <w:t xml:space="preserve">2. </w:t>
      </w:r>
      <w:r>
        <w:rPr>
          <w:rFonts w:ascii="Calibri" w:cs="Calibri" w:eastAsia="Calibri" w:hAnsi="Calibri"/>
          <w:color w:val="222222"/>
          <w:sz w:val="21"/>
          <w:szCs w:val="21"/>
        </w:rPr>
        <w:t xml:space="preserve">Aucun chemin de fichier absolu ne subsiste dans le notebook V2 ; chargement par chemin relatif</w:t>
      </w:r>
    </w:p>
    <w:p>
      <w:pPr>
        <w:pStyle w:val="ListParagraph"/>
        <w:numPr>
          <w:ilvl w:val="0"/>
          <w:numId w:val="1"/>
        </w:numPr>
        <w:spacing w:after="100" w:line="290"/>
      </w:pPr>
      <w:r>
        <w:rPr>
          <w:rFonts w:ascii="Calibri" w:cs="Calibri" w:eastAsia="Calibri" w:hAnsi="Calibri"/>
          <w:b/>
          <w:bCs/>
          <w:color w:val="222222"/>
          <w:sz w:val="21"/>
          <w:szCs w:val="21"/>
        </w:rPr>
        <w:t xml:space="preserve">3. </w:t>
      </w:r>
      <w:r>
        <w:rPr>
          <w:rFonts w:ascii="Calibri" w:cs="Calibri" w:eastAsia="Calibri" w:hAnsi="Calibri"/>
          <w:color w:val="222222"/>
          <w:sz w:val="21"/>
          <w:szCs w:val="21"/>
        </w:rPr>
        <w:t xml:space="preserve">Le calcul de valorisation du stock utilise purchase_price et non price</w:t>
      </w:r>
    </w:p>
    <w:p>
      <w:pPr>
        <w:pStyle w:val="ListParagraph"/>
        <w:numPr>
          <w:ilvl w:val="0"/>
          <w:numId w:val="1"/>
        </w:numPr>
        <w:spacing w:after="100" w:line="290"/>
      </w:pPr>
      <w:r>
        <w:rPr>
          <w:rFonts w:ascii="Calibri" w:cs="Calibri" w:eastAsia="Calibri" w:hAnsi="Calibri"/>
          <w:b/>
          <w:bCs/>
          <w:color w:val="222222"/>
          <w:sz w:val="21"/>
          <w:szCs w:val="21"/>
        </w:rPr>
        <w:t xml:space="preserve">4. </w:t>
      </w:r>
      <w:r>
        <w:rPr>
          <w:rFonts w:ascii="Calibri" w:cs="Calibri" w:eastAsia="Calibri" w:hAnsi="Calibri"/>
          <w:color w:val="222222"/>
          <w:sz w:val="21"/>
          <w:szCs w:val="21"/>
        </w:rPr>
        <w:t xml:space="preserve">Toutes les sections et conclusions du notebook V1 sont conservées à l'identique dans le V2</w:t>
      </w:r>
    </w:p>
    <w:p>
      <w:pPr>
        <w:pStyle w:val="ListParagraph"/>
        <w:numPr>
          <w:ilvl w:val="0"/>
          <w:numId w:val="1"/>
        </w:numPr>
        <w:spacing w:after="100" w:line="290"/>
      </w:pPr>
      <w:r>
        <w:rPr>
          <w:rFonts w:ascii="Calibri" w:cs="Calibri" w:eastAsia="Calibri" w:hAnsi="Calibri"/>
          <w:b/>
          <w:bCs/>
          <w:color w:val="222222"/>
          <w:sz w:val="21"/>
          <w:szCs w:val="21"/>
        </w:rPr>
        <w:t xml:space="preserve">5. </w:t>
      </w:r>
      <w:r>
        <w:rPr>
          <w:rFonts w:ascii="Calibri" w:cs="Calibri" w:eastAsia="Calibri" w:hAnsi="Calibri"/>
          <w:color w:val="222222"/>
          <w:sz w:val="21"/>
          <w:szCs w:val="21"/>
        </w:rPr>
        <w:t xml:space="preserve">La détection d'anomalies multivariée calibre sa contamination sur le taux d'outliers de l'IQR, avec taux de recouvrement chiffré</w:t>
      </w:r>
    </w:p>
    <w:p>
      <w:pPr>
        <w:pStyle w:val="ListParagraph"/>
        <w:numPr>
          <w:ilvl w:val="0"/>
          <w:numId w:val="1"/>
        </w:numPr>
        <w:spacing w:after="100" w:line="290"/>
      </w:pPr>
      <w:r>
        <w:rPr>
          <w:rFonts w:ascii="Calibri" w:cs="Calibri" w:eastAsia="Calibri" w:hAnsi="Calibri"/>
          <w:b/>
          <w:bCs/>
          <w:color w:val="222222"/>
          <w:sz w:val="21"/>
          <w:szCs w:val="21"/>
        </w:rPr>
        <w:t xml:space="preserve">6. </w:t>
      </w:r>
      <w:r>
        <w:rPr>
          <w:rFonts w:ascii="Calibri" w:cs="Calibri" w:eastAsia="Calibri" w:hAnsi="Calibri"/>
          <w:color w:val="222222"/>
          <w:sz w:val="21"/>
          <w:szCs w:val="21"/>
        </w:rPr>
        <w:t xml:space="preserve">La section de significativité calcule Pearson et Spearman, avec p-value, pour chaque paire de la heatmap</w:t>
      </w:r>
    </w:p>
    <w:p>
      <w:pPr>
        <w:pStyle w:val="ListParagraph"/>
        <w:numPr>
          <w:ilvl w:val="0"/>
          <w:numId w:val="1"/>
        </w:numPr>
        <w:spacing w:after="100" w:line="290"/>
      </w:pPr>
      <w:r>
        <w:rPr>
          <w:rFonts w:ascii="Calibri" w:cs="Calibri" w:eastAsia="Calibri" w:hAnsi="Calibri"/>
          <w:b/>
          <w:bCs/>
          <w:color w:val="222222"/>
          <w:sz w:val="21"/>
          <w:szCs w:val="21"/>
        </w:rPr>
        <w:t xml:space="preserve">7. </w:t>
      </w:r>
      <w:r>
        <w:rPr>
          <w:rFonts w:ascii="Calibri" w:cs="Calibri" w:eastAsia="Calibri" w:hAnsi="Calibri"/>
          <w:color w:val="222222"/>
          <w:sz w:val="21"/>
          <w:szCs w:val="21"/>
        </w:rPr>
        <w:t xml:space="preserve">Un tableau du taux de recouvrement et un tableau de p-values sont lisibles sans exécuter le notebook</w:t>
      </w:r>
    </w:p>
    <w:p>
      <w:pPr>
        <w:pStyle w:val="ListParagraph"/>
        <w:numPr>
          <w:ilvl w:val="0"/>
          <w:numId w:val="1"/>
        </w:numPr>
        <w:spacing w:after="100" w:line="290"/>
      </w:pPr>
      <w:r>
        <w:rPr>
          <w:rFonts w:ascii="Calibri" w:cs="Calibri" w:eastAsia="Calibri" w:hAnsi="Calibri"/>
          <w:b/>
          <w:bCs/>
          <w:color w:val="222222"/>
          <w:sz w:val="21"/>
          <w:szCs w:val="21"/>
        </w:rPr>
        <w:t xml:space="preserve">8. </w:t>
      </w:r>
      <w:r>
        <w:rPr>
          <w:rFonts w:ascii="Calibri" w:cs="Calibri" w:eastAsia="Calibri" w:hAnsi="Calibri"/>
          <w:color w:val="222222"/>
          <w:sz w:val="21"/>
          <w:szCs w:val="21"/>
        </w:rPr>
        <w:t xml:space="preserve">Les 4 livrables sont présents à la racine du projet et cohérents entre eux</w:t>
      </w:r>
    </w:p>
    <w:sectPr>
      <w:headerReference w:type="default" r:id="rId7"/>
      <w:footerReference w:type="default" r:id="rId8"/>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63"/>
        <w:sz w:val="15"/>
        <w:szCs w:val="15"/>
      </w:rPr>
      <w:t xml:space="preserve">Kawtar Belkacemi · Data Analyst — OpenClassrooms · </w:t>
    </w:r>
    <w:r>
      <w:rPr>
        <w:rFonts w:ascii="Calibri" w:cs="Calibri" w:eastAsia="Calibri" w:hAnsi="Calibri"/>
        <w:color w:val="5B5F63"/>
        <w:sz w:val="15"/>
        <w:szCs w:val="15"/>
      </w:rPr>
      <w:t xml:space="preserve">Page </w:t>
    </w:r>
    <w:r>
      <w:rPr>
        <w:rFonts w:ascii="Calibri" w:cs="Calibri" w:eastAsia="Calibri" w:hAnsi="Calibri"/>
        <w:color w:val="5B5F63"/>
        <w:sz w:val="15"/>
        <w:szCs w:val="15"/>
      </w:rPr>
      <w:fldChar w:fldCharType="begin"/>
      <w:instrText xml:space="preserve">PAGE</w:instrText>
      <w:fldChar w:fldCharType="separate"/>
      <w:fldChar w:fldCharType="end"/>
    </w:r>
    <w:r>
      <w:rPr>
        <w:rFonts w:ascii="Calibri" w:cs="Calibri" w:eastAsia="Calibri" w:hAnsi="Calibri"/>
        <w:color w:val="5B5F63"/>
        <w:sz w:val="15"/>
        <w:szCs w:val="15"/>
      </w:rPr>
      <w:t xml:space="preserve"> / </w:t>
    </w:r>
    <w:r>
      <w:rPr>
        <w:rFonts w:ascii="Calibri" w:cs="Calibri" w:eastAsia="Calibri" w:hAnsi="Calibri"/>
        <w:color w:val="5B5F6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8DB" w:sz="4" w:space="4"/>
      </w:pBdr>
      <w:tabs>
        <w:tab w:val="right" w:pos="9026"/>
      </w:tabs>
    </w:pPr>
    <w:r>
      <w:rPr>
        <w:rFonts w:ascii="Calibri" w:cs="Calibri" w:eastAsia="Calibri" w:hAnsi="Calibri"/>
        <w:color w:val="5B5F63"/>
        <w:sz w:val="15"/>
        <w:szCs w:val="15"/>
      </w:rPr>
      <w:t xml:space="preserve">BOTTLENECK — Mission 1 Partie 1</w:t>
    </w:r>
    <w:r>
      <w:rPr>
        <w:rFonts w:ascii="Calibri" w:cs="Calibri" w:eastAsia="Calibri" w:hAnsi="Calibri"/>
        <w:b/>
        <w:bCs/>
        <w:color w:val="1F7A8C"/>
        <w:sz w:val="15"/>
        <w:szCs w:val="15"/>
      </w:rPr>
      <w:t xml:space="preserve">	cahier_des_charges.docx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2026-08-05T08:38:03.022Z</dcterms:created>
  <dcterms:modified xsi:type="dcterms:W3CDTF">2026-08-05T08:38:03.026Z</dcterms:modified>
</cp:coreProperties>
</file>

<file path=docProps/custom.xml><?xml version="1.0" encoding="utf-8"?>
<Properties xmlns="http://schemas.openxmlformats.org/officeDocument/2006/custom-properties" xmlns:vt="http://schemas.openxmlformats.org/officeDocument/2006/docPropsVTypes"/>
</file>