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Calibri" w:cs="Calibri" w:eastAsia="Calibri" w:hAnsi="Calibri"/>
          <w:b/>
          <w:bCs/>
          <w:color w:val="E8622C"/>
          <w:spacing w:val="20"/>
          <w:sz w:val="20"/>
          <w:szCs w:val="20"/>
        </w:rPr>
        <w:t xml:space="preserve">ÉTAPE 1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34652"/>
          <w:sz w:val="52"/>
          <w:szCs w:val="52"/>
        </w:rPr>
        <w:t xml:space="preserve">Veille métier et technologique</w:t>
      </w:r>
    </w:p>
    <w:p>
      <w:pPr>
        <w:pBdr>
          <w:bottom w:val="single" w:color="1F7A8C" w:sz="12" w:space="12"/>
        </w:pBdr>
        <w:spacing w:after="260"/>
      </w:pPr>
      <w:r>
        <w:rPr>
          <w:rFonts w:ascii="Calibri" w:cs="Calibri" w:eastAsia="Calibri" w:hAnsi="Calibri"/>
          <w:i/>
          <w:iCs/>
          <w:color w:val="5B5F63"/>
          <w:sz w:val="24"/>
          <w:szCs w:val="24"/>
        </w:rPr>
        <w:t xml:space="preserve">Détection d'anomalies multivariées dans le catalogue Bottleneck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34652"/>
          <w:sz w:val="18"/>
          <w:szCs w:val="18"/>
        </w:rPr>
        <w:t xml:space="preserve">BOTTLENECK</w:t>
      </w:r>
      <w:r>
        <w:rPr>
          <w:rFonts w:ascii="Calibri" w:cs="Calibri" w:eastAsia="Calibri" w:hAnsi="Calibri"/>
          <w:color w:val="5B5F63"/>
          <w:sz w:val="18"/>
          <w:szCs w:val="18"/>
        </w:rPr>
        <w:t xml:space="preserve">  ·  Mission 1 — Partie 1  ·  Amélioration critique du livrable Projet 6</w:t>
      </w:r>
    </w:p>
    <w:p>
      <w:pPr>
        <w:spacing w:after="480"/>
      </w:pPr>
      <w:r>
        <w:rPr>
          <w:rFonts w:ascii="Calibri" w:cs="Calibri" w:eastAsia="Calibri" w:hAnsi="Calibri"/>
          <w:color w:val="5B5F63"/>
          <w:sz w:val="18"/>
          <w:szCs w:val="18"/>
        </w:rPr>
        <w:t xml:space="preserve">Kawtar Belkacemi</w:t>
      </w:r>
      <w:r>
        <w:rPr>
          <w:rFonts w:ascii="Calibri" w:cs="Calibri" w:eastAsia="Calibri" w:hAnsi="Calibri"/>
          <w:color w:val="5B5F63"/>
          <w:sz w:val="18"/>
          <w:szCs w:val="18"/>
        </w:rPr>
        <w:t xml:space="preserve">   ·   Formation Data Analyst — OpenClassrooms   ·   Juillet 2026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1. Constat de départ (analyse critique du notebook V1)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L'analyse du notebook original Belkacemi_Kawtar_1_notebook_052025.ipynb fait apparaître deux limites méthodologiques réelles, observées directement dans le code 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Détection d'outliers strictement univariée sur le prix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(Étape 4.2 du notebook, Z-score puis IQR). Les deux méthodes ne regardent qu'une seule variable (price) à la fois. Un article dont le prix est parfaitement dans la norme mais dont la combinaison stock / ventes est atypique est invisible à ces méthodes, alors qu'il s'agit précisément du type de signal qu'un gestionnaire de stock veut détecter.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Corrélations lues uniquement de façon visuelle, sans test statistique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(Étape 5.5, heatmap Seaborn). La heatmap affiche des coefficients de corrélation (Pearson, implicite via .corr()) mais aucune p-value n'accompagne ces coefficients.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2. Besoin de veille retenu</w:t>
      </w:r>
    </w:p>
    <w:tbl>
      <w:tblPr>
        <w:tblW w:type="dxa" w:w="9648"/>
        <w:tblBorders>
          <w:top w:val="single" w:color="E8622C" w:sz="4"/>
          <w:left w:val="single" w:color="E8622C" w:sz="24"/>
          <w:bottom w:val="single" w:color="E8622C" w:sz="4"/>
          <w:right w:val="single" w:color="E8622C" w:sz="4"/>
          <w:insideH w:val="none" w:color="FFFFFF" w:sz="0"/>
          <w:insideV w:val="none" w:color="FFFFFF" w:sz="0"/>
        </w:tblBorders>
      </w:tblPr>
      <w:tblGrid>
        <w:gridCol w:w="9648"/>
      </w:tblGrid>
      <w:tr>
        <w:tc>
          <w:tcPr>
            <w:tcW w:type="dxa" w:w="9648"/>
            <w:shd w:fill="FBF3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8622C"/>
                <w:spacing w:val="15"/>
                <w:sz w:val="17"/>
                <w:szCs w:val="17"/>
              </w:rPr>
              <w:t xml:space="preserve">BESOIN DE VEILLE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2B2B2B"/>
                <w:sz w:val="21"/>
                <w:szCs w:val="21"/>
              </w:rPr>
              <w:t xml:space="preserve">Comment détecter des anomalies multivariées dans un catalogue produit (prix, stock, ventes) de façon plus fiable qu'une simple analyse univariée du prix, avec un outillage Python accessible à un profil Data Analyst ?</w:t>
            </w:r>
          </w:p>
        </w:tc>
      </w:tr>
    </w:tbl>
    <w:p>
      <w:pPr>
        <w:spacing w:after="160" w:before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Le besoin complémentaire — vérifier la significativité statistique des corrélations — est traité en section 5, sa résolution étant plus standard (test déjà normé en scipy.stats).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3. Solutions comparées — détection d'anomalies multivariée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34652"/>
          <w:sz w:val="24"/>
          <w:szCs w:val="24"/>
        </w:rPr>
        <w:t xml:space="preserve">Solution A — Isolation Forest (sklearn.ensemble.IsolationForest)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Principe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construit une forêt d'arbres qui isolent aléatoirement les observations ; les points anormaux sont isolés avec moins de coupures que les points normaux.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 d'usage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détection d'anomalies sur données tabulaires de dimension faible à moyenne (ici price, stock_quantity, total_sales), catalogues produits, détection de fraude.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Avantages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complexité quasi-linéaire O(n log n) ; robuste aux variables non gaussiennes ; un seul hyperparamètre réellement sensible (contamination) ; implémentation mature dans scikit-learn.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Limites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le paramètre contamination doit être choisi ou estimé ; moins interprétable qu'un simple seuil ; résultat non déterministe sauf si random_state est fixé.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Prérequis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standardisation des variables (StandardScaler) recommandée quand les échelles diffèrent fortement.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Source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documentation officielle scikit-learn (IsolationForest, Outlier Detection) ; Liu, Ting &amp; Zhou (2008), "Isolation Forest", IEEE ICDM.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34652"/>
          <w:sz w:val="24"/>
          <w:szCs w:val="24"/>
        </w:rPr>
        <w:t xml:space="preserve">Solution B — Local Outlier Factor (sklearn.neighbors.LocalOutlierFactor)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Principe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compare la densité locale d'un point à celle de ses voisins ; un point dans une zone nettement moins dense est considéré anormal.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 d'usage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anomalies locales dans des jeux à densité hétérogène (vins courants vs Grands Crus).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Avantages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détecte des anomalies contextuelles qu'Isolation Forest peut manquer ; pas d'hypothèse de linéarité.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Limites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sensible au choix de n_neighbors ; coût de calcul plus élevé (O(n²) en implémentation naïve) ; résultats plus difficiles à expliquer à un public non technique.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Prérequis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mêmes prérequis de standardisation que la Solution A.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Source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documentation officielle scikit-learn (LocalOutlierFactor).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34652"/>
          <w:sz w:val="24"/>
          <w:szCs w:val="24"/>
        </w:rPr>
        <w:t xml:space="preserve">Solution C — One-Class SVM (sklearn.svm.OneClassSVM)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Principe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apprend une frontière englobant la majorité des points "normaux" dans un espace projeté par noyau.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 d'usage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détection de nouveauté quand on dispose d'un jeu d'apprentissage jugé "propre".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Avantages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formalisme mathématique solide, bon comportement sur frontières non linéaires.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Limites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très sensible aux hyperparamètres (nu, gamma) ; peu interprétable ; nécessite un jeu d'apprentissage "propre", non garanti ici.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Prérequis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standardisation, tuning nu/gamma idéalement par validation croisée.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Source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documentation officielle scikit-learn (OneClassSVM).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4. Tableau de critères de comparaison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2600"/>
        <w:gridCol w:w="2900"/>
        <w:gridCol w:w="2900"/>
        <w:gridCol w:w="3120"/>
      </w:tblGrid>
      <w:tr>
        <w:trPr>
          <w:tblHeader/>
        </w:trPr>
        <w:tc>
          <w:tcPr>
            <w:tcW w:type="dxa" w:w="26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29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Isolation Forest</w:t>
            </w:r>
          </w:p>
        </w:tc>
        <w:tc>
          <w:tcPr>
            <w:tcW w:type="dxa" w:w="29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Outlier Factor</w:t>
            </w:r>
          </w:p>
        </w:tc>
        <w:tc>
          <w:tcPr>
            <w:tcW w:type="dxa" w:w="31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One-Class SVM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Qualité de détection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Bonne, y compris anomalies globales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Très bonne sur anomalies locales/contextuelles</w:t>
            </w:r>
          </w:p>
        </w:tc>
        <w:tc>
          <w:tcPr>
            <w:tcW w:type="dxa" w:w="31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Bonne si frontière bien ajustée, sensible au tuning</w:t>
            </w:r>
          </w:p>
        </w:tc>
      </w:tr>
      <w:tr>
        <w:tc>
          <w:tcPr>
            <w:tcW w:type="dxa" w:w="2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Robustesse / biais</w:t>
            </w:r>
          </w:p>
        </w:tc>
        <w:tc>
          <w:tcPr>
            <w:tcW w:type="dxa" w:w="29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Peu sensible aux outliers extrêmes ; dépend de contamination</w:t>
            </w:r>
          </w:p>
        </w:tc>
        <w:tc>
          <w:tcPr>
            <w:tcW w:type="dxa" w:w="29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Sensible à n_neighbors ; peut sur-détecter en zone peu dense</w:t>
            </w:r>
          </w:p>
        </w:tc>
        <w:tc>
          <w:tcPr>
            <w:tcW w:type="dxa" w:w="31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Très sensible à nu/gamma : risque de biais fort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Coût / temps de calcul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Faible, quasi-linéaire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Plus élevé (recherche de voisins)</w:t>
            </w:r>
          </w:p>
        </w:tc>
        <w:tc>
          <w:tcPr>
            <w:tcW w:type="dxa" w:w="31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Plus élevé sur noyau non linéaire — le moins scalable</w:t>
            </w:r>
          </w:p>
        </w:tc>
      </w:tr>
      <w:tr>
        <w:tc>
          <w:tcPr>
            <w:tcW w:type="dxa" w:w="2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Reproductibilité</w:t>
            </w:r>
          </w:p>
        </w:tc>
        <w:tc>
          <w:tcPr>
            <w:tcW w:type="dxa" w:w="29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Élevée avec random_state fixé</w:t>
            </w:r>
          </w:p>
        </w:tc>
        <w:tc>
          <w:tcPr>
            <w:tcW w:type="dxa" w:w="29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Élevée (déterministe à n_neighbors fixé)</w:t>
            </w:r>
          </w:p>
        </w:tc>
        <w:tc>
          <w:tcPr>
            <w:tcW w:type="dxa" w:w="31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 (sensibilité au tuning)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Sécurité / conformité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Aucune donnée personnelle, pas d'enjeu RGPD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Idem</w:t>
            </w:r>
          </w:p>
        </w:tc>
        <w:tc>
          <w:tcPr>
            <w:tcW w:type="dxa" w:w="31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Idem</w:t>
            </w:r>
          </w:p>
        </w:tc>
      </w:tr>
      <w:tr>
        <w:tc>
          <w:tcPr>
            <w:tcW w:type="dxa" w:w="2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Maintenabilité (profil Data Analyst)</w:t>
            </w:r>
          </w:p>
        </w:tc>
        <w:tc>
          <w:tcPr>
            <w:tcW w:type="dxa" w:w="29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Élevée : un seul hyperparamètre métier à justifier</w:t>
            </w:r>
          </w:p>
        </w:tc>
        <w:tc>
          <w:tcPr>
            <w:tcW w:type="dxa" w:w="29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 : deux hyperparamètres à justifier</w:t>
            </w:r>
          </w:p>
        </w:tc>
        <w:tc>
          <w:tcPr>
            <w:tcW w:type="dxa" w:w="31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 : plusieurs hyperparamètres non triviaux</w:t>
            </w:r>
          </w:p>
        </w:tc>
      </w:tr>
    </w:tbl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5. Besoin complémentaire — significativité statistique des corrélations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Comment vérifier qu'une corrélation lue sur une heatmap n'est pas un artefact de l'échantillon, et détecter d'éventuelles relations non linéaires qu'un coefficient de Pearson ne capture pas 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Solution A — Test de Pearson (scipy.stats.pearsonr)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mesure la corrélation linéaire et renvoie une p-value. Cohérent avec le coefficient déjà affiché dans la heatmap. Limite : ne détecte que les relations linéaires.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Solution B — Test de Spearman (scipy.stats.spearmanr) :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corrélation de rang, capte les relations monotones même non linéaires, plus robuste aux outliers. Limite : moins intuitif pour un public métier.</w:t>
      </w:r>
    </w:p>
    <w:tbl>
      <w:tblPr>
        <w:tblW w:type="dxa" w:w="9648"/>
        <w:tblBorders>
          <w:top w:val="single" w:color="E8622C" w:sz="4"/>
          <w:left w:val="single" w:color="E8622C" w:sz="24"/>
          <w:bottom w:val="single" w:color="E8622C" w:sz="4"/>
          <w:right w:val="single" w:color="E8622C" w:sz="4"/>
          <w:insideH w:val="none" w:color="FFFFFF" w:sz="0"/>
          <w:insideV w:val="none" w:color="FFFFFF" w:sz="0"/>
        </w:tblBorders>
      </w:tblPr>
      <w:tblGrid>
        <w:gridCol w:w="9648"/>
      </w:tblGrid>
      <w:tr>
        <w:tc>
          <w:tcPr>
            <w:tcW w:type="dxa" w:w="9648"/>
            <w:shd w:fill="FBF3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8622C"/>
                <w:spacing w:val="15"/>
                <w:sz w:val="17"/>
                <w:szCs w:val="17"/>
              </w:rPr>
              <w:t xml:space="preserve">DÉCISION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2B2B2B"/>
                <w:sz w:val="21"/>
                <w:szCs w:val="21"/>
              </w:rPr>
              <w:t xml:space="preserve">Les deux tests sont calculés pour chaque paire de variables de la heatmap, avec un seuil standard p &lt; 0,05, pour croiser force de la relation et fiabilité de la relation.</w:t>
            </w:r>
          </w:p>
        </w:tc>
      </w:tr>
    </w:tbl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6. Décision finale argumentée</w:t>
      </w:r>
    </w:p>
    <w:p>
      <w:pPr>
        <w:spacing w:after="200"/>
      </w:pPr>
    </w:p>
    <w:tbl>
      <w:tblPr>
        <w:tblW w:type="dxa" w:w="9648"/>
        <w:tblBorders>
          <w:top w:val="single" w:color="1F7A8C" w:sz="4"/>
          <w:left w:val="single" w:color="1F7A8C" w:sz="24"/>
          <w:bottom w:val="single" w:color="1F7A8C" w:sz="4"/>
          <w:right w:val="single" w:color="1F7A8C" w:sz="4"/>
          <w:insideH w:val="none" w:color="FFFFFF" w:sz="0"/>
          <w:insideV w:val="none" w:color="FFFFFF" w:sz="0"/>
        </w:tblBorders>
      </w:tblPr>
      <w:tblGrid>
        <w:gridCol w:w="9648"/>
      </w:tblGrid>
      <w:tr>
        <w:tc>
          <w:tcPr>
            <w:tcW w:type="dxa" w:w="9648"/>
            <w:shd w:fill="FBF3EF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7A8C"/>
                <w:spacing w:val="15"/>
                <w:sz w:val="17"/>
                <w:szCs w:val="17"/>
              </w:rPr>
              <w:t xml:space="preserve">DÉCISION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2B2B2B"/>
                <w:sz w:val="21"/>
                <w:szCs w:val="21"/>
              </w:rPr>
              <w:t xml:space="preserve">Solution retenue : Isolation Forest, complétée par les tests de Pearson et Spearman pour les corrélations.</w:t>
            </w:r>
          </w:p>
        </w:tc>
      </w:tr>
    </w:tbl>
    <w:p>
      <w:pPr>
        <w:spacing w:before="220"/>
      </w:pP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Le catalogue Bottleneck reste de taille modeste, mais rien n'indique qu'il ne grossira pas — Isolation Forest est la solution la plus scalable des trois pour un coût d'implémentation équivalent.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Le projet doit être présenté devant un jury / des équipes non techniques : Isolation Forest n'a qu'un seul hyperparamètre réellement décisif (contamination), calibrable de façon objective sur le taux d'outliers déjà trouvé par l'IQR — plus facile à défendre à l'oral qu'un réglage de nu/gamma ou de n_neighbors.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Local Outlier Factor reste une piste pertinente pour une itération future si l'on souhaite détecter des anomalies par famille de produits.</w:t>
      </w:r>
    </w:p>
    <w:sectPr>
      <w:headerReference w:type="default" r:id="rId7"/>
      <w:footerReference w:type="default" r:id="rId8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3"/>
        <w:sz w:val="15"/>
        <w:szCs w:val="15"/>
      </w:rPr>
      <w:t xml:space="preserve">Kawtar Belkacemi · Data Analyst — OpenClassrooms · </w:t>
    </w:r>
    <w:r>
      <w:rPr>
        <w:rFonts w:ascii="Calibri" w:cs="Calibri" w:eastAsia="Calibri" w:hAnsi="Calibri"/>
        <w:color w:val="5B5F63"/>
        <w:sz w:val="15"/>
        <w:szCs w:val="15"/>
      </w:rPr>
      <w:t xml:space="preserve">Page </w:t>
    </w:r>
    <w:r>
      <w:rPr>
        <w:rFonts w:ascii="Calibri" w:cs="Calibri" w:eastAsia="Calibri" w:hAnsi="Calibri"/>
        <w:color w:val="5B5F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3"/>
        <w:sz w:val="15"/>
        <w:szCs w:val="15"/>
      </w:rPr>
      <w:t xml:space="preserve"> / </w:t>
    </w:r>
    <w:r>
      <w:rPr>
        <w:rFonts w:ascii="Calibri" w:cs="Calibri" w:eastAsia="Calibri" w:hAnsi="Calibri"/>
        <w:color w:val="5B5F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8DB" w:sz="4" w:space="4"/>
      </w:pBdr>
      <w:tabs>
        <w:tab w:val="right" w:pos="9026"/>
      </w:tabs>
    </w:pPr>
    <w:r>
      <w:rPr>
        <w:rFonts w:ascii="Calibri" w:cs="Calibri" w:eastAsia="Calibri" w:hAnsi="Calibri"/>
        <w:color w:val="5B5F63"/>
        <w:sz w:val="15"/>
        <w:szCs w:val="15"/>
      </w:rPr>
      <w:t xml:space="preserve">BOTTLENECK — Mission 1 Partie 1</w:t>
    </w:r>
    <w:r>
      <w:rPr>
        <w:rFonts w:ascii="Calibri" w:cs="Calibri" w:eastAsia="Calibri" w:hAnsi="Calibri"/>
        <w:b/>
        <w:bCs/>
        <w:color w:val="1F7A8C"/>
        <w:sz w:val="15"/>
        <w:szCs w:val="15"/>
      </w:rPr>
      <w:t xml:space="preserve">	veille_technologique.docx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2026-08-05T08:34:46.518Z</dcterms:created>
  <dcterms:modified xsi:type="dcterms:W3CDTF">2026-08-05T08:34:46.523Z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