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after="220"/>
      </w:pPr>
      <w:r>
        <w:rPr>
          <w:b/>
          <w:color w:val="0f1f36"/>
          <w:sz w:val="36"/>
        </w:rPr>
        <w:t xml:space="preserve">Навигация по сайту ПНП для менеджеров</w:t>
      </w:r>
    </w:p>
    <w:p>
      <w:pPr>
        <w:spacing w:after="220"/>
      </w:pPr>
      <w:r>
        <w:rPr>
          <w:sz w:val="22"/>
        </w:rPr>
        <w:t xml:space="preserve">Документ помогает быстро понять, что клиент видит на сайте, какую информацию получает и куда его вести в разговоре.</w:t>
      </w:r>
    </w:p>
    <w:p>
      <w:pPr>
        <w:spacing w:after="260"/>
      </w:pPr>
      <w:r>
        <w:rPr>
          <w:b/>
          <w:color w:val="a21d4b"/>
          <w:sz w:val="24"/>
        </w:rPr>
        <w:t xml:space="preserve">Коротко: сайт показывает ПНП как единый центр комплектации строительных объектов и переводит клиента к заявке, спецификации или подбору решения.</w:t>
      </w:r>
    </w:p>
    <w:p>
      <w:pPr>
        <w:spacing w:after="120"/>
      </w:pPr>
      <w:r>
        <w:rPr>
          <w:b/>
          <w:color w:val="0f1f36"/>
          <w:sz w:val="28"/>
        </w:rPr>
        <w:t xml:space="preserve">1. Как менеджеру использовать сайт</w:t>
      </w:r>
    </w:p>
    <w:p>
      <w:pPr>
        <w:spacing w:after="80"/>
        <w:ind w:left="360" w:hanging="180"/>
      </w:pPr>
      <w:r>
        <w:t xml:space="preserve">• </w:t>
      </w:r>
      <w:r>
        <w:t xml:space="preserve">Сайт не является интернет-магазином. Его задача — быстро объяснить компетенции ПНП и привести клиента к заявке или спецификации.</w:t>
      </w:r>
    </w:p>
    <w:p>
      <w:pPr>
        <w:spacing w:after="80"/>
        <w:ind w:left="360" w:hanging="180"/>
      </w:pPr>
      <w:r>
        <w:t xml:space="preserve">• </w:t>
      </w:r>
      <w:r>
        <w:t xml:space="preserve">Каталог помогает клиенту структурировать потребность: блок → направление → система → товарная группа → тип продукции.</w:t>
      </w:r>
    </w:p>
    <w:p>
      <w:pPr>
        <w:spacing w:after="80"/>
        <w:ind w:left="360" w:hanging="180"/>
      </w:pPr>
      <w:r>
        <w:t xml:space="preserve">• </w:t>
      </w:r>
      <w:r>
        <w:t xml:space="preserve">Финальная цель сайта — заявка: спецификация, список позиций, файл, город/объект, сроки и контактные данные.</w:t>
      </w:r>
    </w:p>
    <w:p>
      <w:pPr>
        <w:spacing w:after="80"/>
        <w:ind w:left="360" w:hanging="180"/>
      </w:pPr>
      <w:r>
        <w:t xml:space="preserve">• </w:t>
      </w:r>
      <w:r>
        <w:t xml:space="preserve">Производители на сайте нужны как ориентир по брендам и аналогам. Наличие, цена, сроки и официальные документы подтверждаются менеджером.</w:t>
      </w:r>
    </w:p>
    <w:p>
      <w:pPr>
        <w:spacing w:after="80"/>
        <w:ind w:left="360" w:hanging="180"/>
      </w:pPr>
      <w:r>
        <w:t xml:space="preserve">• </w:t>
      </w:r>
      <w:r>
        <w:t xml:space="preserve">Если клиент не нашёл нужную позицию, это не отказ. Нужно предложить отправить спецификацию или описание задачи через форму.</w:t>
      </w:r>
    </w:p>
    <w:p>
      <w:pPr>
        <w:spacing w:after="120"/>
      </w:pPr>
      <w:r>
        <w:rPr>
          <w:b/>
          <w:color w:val="0f1f36"/>
          <w:sz w:val="28"/>
        </w:rPr>
        <w:t xml:space="preserve">2. Актуальные масштабы сайта</w:t>
      </w:r>
    </w:p>
    <w:tbl>
      <w:tblPr>
        <w:tblStyle w:val="TableGrid"/>
        <w:tblW w:w="0" w:type="auto"/>
        <w:tblBorders>
          <w:top w:val="single" w:sz="4" w:color="d7dde8"/>
          <w:left w:val="single" w:sz="4" w:color="d7dde8"/>
          <w:bottom w:val="single" w:sz="4" w:color="d7dde8"/>
          <w:right w:val="single" w:sz="4" w:color="d7dde8"/>
          <w:insideH w:val="single" w:sz="4" w:color="d7dde8"/>
          <w:insideV w:val="single" w:sz="4" w:color="d7dde8"/>
        </w:tblBorders>
      </w:tblPr>
      <w:tblGrid>
        <w:gridCol w:w="4500"/>
        <w:gridCol w:w="2500"/>
      </w:tblGrid>
      <w:tr>
        <w:tc>
          <w:tcPr>
            <w:tcW w:w="4500" w:type="dxa"/>
            <w:shd w:fill="22314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b/>
                <w:color w:val="ffffff"/>
                <w:sz w:val="20"/>
              </w:rPr>
              <w:t xml:space="preserve">Показатель</w:t>
            </w:r>
          </w:p>
        </w:tc>
        <w:tc>
          <w:tcPr>
            <w:tcW w:w="2500" w:type="dxa"/>
            <w:shd w:fill="22314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b/>
                <w:color w:val="ffffff"/>
                <w:sz w:val="20"/>
              </w:rPr>
              <w:t xml:space="preserve">Значение</w:t>
            </w:r>
          </w:p>
        </w:tc>
      </w:tr>
      <w:tr>
        <w:tc>
          <w:tcPr>
            <w:tcW w:w="45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Блоки поставки</w:t>
            </w:r>
          </w:p>
        </w:tc>
        <w:tc>
          <w:tcPr>
            <w:tcW w:w="25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5</w:t>
            </w:r>
          </w:p>
        </w:tc>
      </w:tr>
      <w:tr>
        <w:tc>
          <w:tcPr>
            <w:tcW w:w="45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Направления</w:t>
            </w:r>
          </w:p>
        </w:tc>
        <w:tc>
          <w:tcPr>
            <w:tcW w:w="25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14</w:t>
            </w:r>
          </w:p>
        </w:tc>
      </w:tr>
      <w:tr>
        <w:tc>
          <w:tcPr>
            <w:tcW w:w="45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Системы</w:t>
            </w:r>
          </w:p>
        </w:tc>
        <w:tc>
          <w:tcPr>
            <w:tcW w:w="25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88</w:t>
            </w:r>
          </w:p>
        </w:tc>
      </w:tr>
      <w:tr>
        <w:tc>
          <w:tcPr>
            <w:tcW w:w="45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Товарные группы</w:t>
            </w:r>
          </w:p>
        </w:tc>
        <w:tc>
          <w:tcPr>
            <w:tcW w:w="25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235</w:t>
            </w:r>
          </w:p>
        </w:tc>
      </w:tr>
      <w:tr>
        <w:tc>
          <w:tcPr>
            <w:tcW w:w="45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Типы продукции</w:t>
            </w:r>
          </w:p>
        </w:tc>
        <w:tc>
          <w:tcPr>
            <w:tcW w:w="25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862</w:t>
            </w:r>
          </w:p>
        </w:tc>
      </w:tr>
      <w:tr>
        <w:tc>
          <w:tcPr>
            <w:tcW w:w="45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Производители</w:t>
            </w:r>
          </w:p>
        </w:tc>
        <w:tc>
          <w:tcPr>
            <w:tcW w:w="25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388</w:t>
            </w:r>
          </w:p>
        </w:tc>
      </w:tr>
      <w:tr>
        <w:tc>
          <w:tcPr>
            <w:tcW w:w="45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Партнёры/бренды</w:t>
            </w:r>
          </w:p>
        </w:tc>
        <w:tc>
          <w:tcPr>
            <w:tcW w:w="25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76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color w:val="0f1f36"/>
          <w:sz w:val="28"/>
        </w:rPr>
        <w:t xml:space="preserve">3. Карта страниц сайта</w:t>
      </w:r>
    </w:p>
    <w:tbl>
      <w:tblPr>
        <w:tblStyle w:val="TableGrid"/>
        <w:tblW w:w="0" w:type="auto"/>
        <w:tblBorders>
          <w:top w:val="single" w:sz="4" w:color="d7dde8"/>
          <w:left w:val="single" w:sz="4" w:color="d7dde8"/>
          <w:bottom w:val="single" w:sz="4" w:color="d7dde8"/>
          <w:right w:val="single" w:sz="4" w:color="d7dde8"/>
          <w:insideH w:val="single" w:sz="4" w:color="d7dde8"/>
          <w:insideV w:val="single" w:sz="4" w:color="d7dde8"/>
        </w:tblBorders>
      </w:tblPr>
      <w:tblGrid>
        <w:gridCol w:w="1700"/>
        <w:gridCol w:w="2200"/>
        <w:gridCol w:w="4200"/>
        <w:gridCol w:w="4200"/>
      </w:tblGrid>
      <w:tr>
        <w:tc>
          <w:tcPr>
            <w:tcW w:w="1700" w:type="dxa"/>
            <w:shd w:fill="22314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b/>
                <w:color w:val="ffffff"/>
                <w:sz w:val="20"/>
              </w:rPr>
              <w:t xml:space="preserve">URL</w:t>
            </w:r>
          </w:p>
        </w:tc>
        <w:tc>
          <w:tcPr>
            <w:tcW w:w="2200" w:type="dxa"/>
            <w:shd w:fill="22314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b/>
                <w:color w:val="ffffff"/>
                <w:sz w:val="20"/>
              </w:rPr>
              <w:t xml:space="preserve">Страница</w:t>
            </w:r>
          </w:p>
        </w:tc>
        <w:tc>
          <w:tcPr>
            <w:tcW w:w="4200" w:type="dxa"/>
            <w:shd w:fill="22314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b/>
                <w:color w:val="ffffff"/>
                <w:sz w:val="20"/>
              </w:rPr>
              <w:t xml:space="preserve">Что клиент узнаёт</w:t>
            </w:r>
          </w:p>
        </w:tc>
        <w:tc>
          <w:tcPr>
            <w:tcW w:w="4200" w:type="dxa"/>
            <w:shd w:fill="22314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b/>
                <w:color w:val="ffffff"/>
                <w:sz w:val="20"/>
              </w:rPr>
              <w:t xml:space="preserve">Как использовать менеджеру</w:t>
            </w:r>
          </w:p>
        </w:tc>
      </w:tr>
      <w:tr>
        <w:tc>
          <w:tcPr>
            <w:tcW w:w="17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/</w:t>
            </w:r>
          </w:p>
        </w:tc>
        <w:tc>
          <w:tcPr>
            <w:tcW w:w="2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Главная страница</w:t>
            </w:r>
          </w:p>
        </w:tc>
        <w:tc>
          <w:tcPr>
            <w:tcW w:w="4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Первое позиционирование ПНП: единый центр комплектации строительных объектов. Клиент видит ключевой оффер, преимущества, основные направления поставки, популярные бренды и быстрый переход к заявке.</w:t>
            </w:r>
          </w:p>
        </w:tc>
        <w:tc>
          <w:tcPr>
            <w:tcW w:w="4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Использовать как короткую презентацию компании: ПНП закрывает объект комплексно, по разделам проекта, с подбором материалов, оборудования, производителей и аналогов.</w:t>
            </w:r>
          </w:p>
        </w:tc>
      </w:tr>
      <w:tr>
        <w:tc>
          <w:tcPr>
            <w:tcW w:w="17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/about/</w:t>
            </w:r>
          </w:p>
        </w:tc>
        <w:tc>
          <w:tcPr>
            <w:tcW w:w="2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О компании</w:t>
            </w:r>
          </w:p>
        </w:tc>
        <w:tc>
          <w:tcPr>
            <w:tcW w:w="4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Объясняет подход ПНП: работа с задачами объекта от ТЗ и спецификации до подбора, документов, КП и поставки. Есть блоки для проектировщиков, генподрядчиков и проектных институтов.</w:t>
            </w:r>
          </w:p>
        </w:tc>
        <w:tc>
          <w:tcPr>
            <w:tcW w:w="4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Отправлять клиенту, если нужно объяснить не конкретный товар, а ценность комплексной комплектации и роль ПНП в проекте.</w:t>
            </w:r>
          </w:p>
        </w:tc>
      </w:tr>
      <w:tr>
        <w:tc>
          <w:tcPr>
            <w:tcW w:w="17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/catalog/</w:t>
            </w:r>
          </w:p>
        </w:tc>
        <w:tc>
          <w:tcPr>
            <w:tcW w:w="2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Каталог решений</w:t>
            </w:r>
          </w:p>
        </w:tc>
        <w:tc>
          <w:tcPr>
            <w:tcW w:w="4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Основная карта направлений: 5 глобальных блоков, направления, системы, товарные группы и типы продукции. Клиент может проваливаться от крупного блока до конкретной товарной группы.</w:t>
            </w:r>
          </w:p>
        </w:tc>
        <w:tc>
          <w:tcPr>
            <w:tcW w:w="4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Использовать для навигации по потребности клиента: сначала определить блок, затем направление, систему и товарную группу.</w:t>
            </w:r>
          </w:p>
        </w:tc>
      </w:tr>
      <w:tr>
        <w:tc>
          <w:tcPr>
            <w:tcW w:w="17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/catalog/&lt;block&gt;/</w:t>
            </w:r>
          </w:p>
        </w:tc>
        <w:tc>
          <w:tcPr>
            <w:tcW w:w="2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Страница блока каталога</w:t>
            </w:r>
          </w:p>
        </w:tc>
        <w:tc>
          <w:tcPr>
            <w:tcW w:w="4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Показывает направления внутри выбранного блока: например, в строительных материалах клиент видит архитектурные решения, конструктивные решения и благоустройство.</w:t>
            </w:r>
          </w:p>
        </w:tc>
        <w:tc>
          <w:tcPr>
            <w:tcW w:w="4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Хорошая точка входа, если клиент говорит широко: нужны строительные материалы, инженерное оборудование, IT, энергетика или технологическое оборудование.</w:t>
            </w:r>
          </w:p>
        </w:tc>
      </w:tr>
      <w:tr>
        <w:tc>
          <w:tcPr>
            <w:tcW w:w="17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/catalog/&lt;block&gt;/&lt;direction&gt;/</w:t>
            </w:r>
          </w:p>
        </w:tc>
        <w:tc>
          <w:tcPr>
            <w:tcW w:w="2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Страница направления</w:t>
            </w:r>
          </w:p>
        </w:tc>
        <w:tc>
          <w:tcPr>
            <w:tcW w:w="4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Показывает системы внутри направления. Например: фасады, потолки, стены, окна; или ВК, ОВиК, пожарная безопасность, слаботочные сети.</w:t>
            </w:r>
          </w:p>
        </w:tc>
        <w:tc>
          <w:tcPr>
            <w:tcW w:w="4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Помогает сузить запрос до системы и не терять клиента в большом каталоге.</w:t>
            </w:r>
          </w:p>
        </w:tc>
      </w:tr>
      <w:tr>
        <w:tc>
          <w:tcPr>
            <w:tcW w:w="17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/catalog/&lt;block&gt;/&lt;direction&gt;/&lt;system&gt;/</w:t>
            </w:r>
          </w:p>
        </w:tc>
        <w:tc>
          <w:tcPr>
            <w:tcW w:w="2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Страница системы</w:t>
            </w:r>
          </w:p>
        </w:tc>
        <w:tc>
          <w:tcPr>
            <w:tcW w:w="4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Показывает товарные группы внутри системы. Здесь клиент выбирает уже близкую к закупке категорию.</w:t>
            </w:r>
          </w:p>
        </w:tc>
        <w:tc>
          <w:tcPr>
            <w:tcW w:w="4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Использовать, когда клиент понимает раздел, но не сформулировал точную позицию.</w:t>
            </w:r>
          </w:p>
        </w:tc>
      </w:tr>
      <w:tr>
        <w:tc>
          <w:tcPr>
            <w:tcW w:w="17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/catalog/&lt;block&gt;/&lt;direction&gt;/&lt;system&gt;/&lt;group&gt;/</w:t>
            </w:r>
          </w:p>
        </w:tc>
        <w:tc>
          <w:tcPr>
            <w:tcW w:w="2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Товарная группа</w:t>
            </w:r>
          </w:p>
        </w:tc>
        <w:tc>
          <w:tcPr>
            <w:tcW w:w="4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Финальная страница каталога: типы продукции, характеристики, связанные производители и мини-заявка. Клиент может добавить позиции в заявку и отправить запрос.</w:t>
            </w:r>
          </w:p>
        </w:tc>
        <w:tc>
          <w:tcPr>
            <w:tcW w:w="4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Самая полезная страница для предметного диалога: можно попросить клиента выбрать тип продукции или отправить спецификацию.</w:t>
            </w:r>
          </w:p>
        </w:tc>
      </w:tr>
      <w:tr>
        <w:tc>
          <w:tcPr>
            <w:tcW w:w="17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/vendors/</w:t>
            </w:r>
          </w:p>
        </w:tc>
        <w:tc>
          <w:tcPr>
            <w:tcW w:w="2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Производители</w:t>
            </w:r>
          </w:p>
        </w:tc>
        <w:tc>
          <w:tcPr>
            <w:tcW w:w="4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Справочник производителей и брендов. Есть поиск по бренду, производителю, направлению, системе или товарной группе.</w:t>
            </w:r>
          </w:p>
        </w:tc>
        <w:tc>
          <w:tcPr>
            <w:tcW w:w="4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Открывать, когда клиент спрашивает: с какими брендами работаете, какие есть аналоги, каких производителей можно рассмотреть.</w:t>
            </w:r>
          </w:p>
        </w:tc>
      </w:tr>
      <w:tr>
        <w:tc>
          <w:tcPr>
            <w:tcW w:w="17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/partners/</w:t>
            </w:r>
          </w:p>
        </w:tc>
        <w:tc>
          <w:tcPr>
            <w:tcW w:w="2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Партнёры и бренды</w:t>
            </w:r>
          </w:p>
        </w:tc>
        <w:tc>
          <w:tcPr>
            <w:tcW w:w="4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Витрина ключевых партнёров и брендов с логотипами, поиском и переходами на официальные сайты.</w:t>
            </w:r>
          </w:p>
        </w:tc>
        <w:tc>
          <w:tcPr>
            <w:tcW w:w="4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Использовать как имиджевую страницу: показывает, что ПНП работает с известными брендами и поставщиками.</w:t>
            </w:r>
          </w:p>
        </w:tc>
      </w:tr>
      <w:tr>
        <w:tc>
          <w:tcPr>
            <w:tcW w:w="17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/contacts/</w:t>
            </w:r>
          </w:p>
        </w:tc>
        <w:tc>
          <w:tcPr>
            <w:tcW w:w="2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Контакты и форма заявки</w:t>
            </w:r>
          </w:p>
        </w:tc>
        <w:tc>
          <w:tcPr>
            <w:tcW w:w="4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Форма запроса КП: имя/компания, телефон, email, направление, объект, комментарий и файлы спецификации.</w:t>
            </w:r>
          </w:p>
        </w:tc>
        <w:tc>
          <w:tcPr>
            <w:tcW w:w="4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Главная страница для действия: если клиент готов отправить ТЗ, ведомость или список позиций, вести его сюда.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color w:val="0f1f36"/>
          <w:sz w:val="28"/>
        </w:rPr>
        <w:t xml:space="preserve">4. Структура каталога</w:t>
      </w:r>
    </w:p>
    <w:p>
      <w:pPr>
        <w:spacing w:after="140"/>
      </w:pPr>
      <w:r>
        <w:rPr>
          <w:sz w:val="21"/>
        </w:rPr>
        <w:t xml:space="preserve">Каталог устроен по цепочке: блок → направление → система → товарная группа → тип продукции → производители.</w:t>
      </w:r>
    </w:p>
    <w:p>
      <w:pPr>
        <w:spacing w:after="80"/>
      </w:pPr>
      <w:r>
        <w:rPr>
          <w:b/>
          <w:color w:val="a21d4b"/>
          <w:sz w:val="24"/>
        </w:rPr>
        <w:t xml:space="preserve">Строительные материалы</w:t>
      </w:r>
    </w:p>
    <w:p>
      <w:pPr>
        <w:spacing w:after="80"/>
      </w:pPr>
      <w:r>
        <w:rPr>
          <w:sz w:val="20"/>
        </w:rPr>
        <w:t xml:space="preserve">Материалы и решения для архитектуры, отделки, конструктивных элементов и строительной комплектации объекта.</w:t>
      </w:r>
    </w:p>
    <w:p>
      <w:pPr>
        <w:spacing w:after="80"/>
        <w:ind w:left="360" w:hanging="180"/>
      </w:pPr>
      <w:r>
        <w:t xml:space="preserve">• </w:t>
      </w:r>
      <w:r>
        <w:t xml:space="preserve">Архитектурные решения: Потолки, Стены / интерьерные панели, Полы, Окна, витражи, двери, Фасады, Отделочные материалы, Кровельные системы</w:t>
      </w:r>
    </w:p>
    <w:p>
      <w:pPr>
        <w:spacing w:after="80"/>
        <w:ind w:left="360" w:hanging="180"/>
      </w:pPr>
      <w:r>
        <w:t xml:space="preserve">• </w:t>
      </w:r>
      <w:r>
        <w:t xml:space="preserve">Конструктивные решения: Стены / кладочные материалы, Бетонные конструкции, Перегородки, Древесно-плитные материалы, Инертные и сыпучие материалы, Инертные и вяжущие материалы, Металл, Фундаменты и сваи и другие системы</w:t>
      </w:r>
    </w:p>
    <w:p>
      <w:pPr>
        <w:spacing w:after="80"/>
        <w:ind w:left="360" w:hanging="180"/>
      </w:pPr>
      <w:r>
        <w:t xml:space="preserve">• </w:t>
      </w:r>
      <w:r>
        <w:t xml:space="preserve">Благоустройство и озеленение: Малые архитектурные формы (МАФ), Покрытия, Освещение территории, Ограждения и зонирование, Дорожные плиты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color w:val="a21d4b"/>
          <w:sz w:val="24"/>
        </w:rPr>
        <w:t xml:space="preserve">Инженерное оборудование</w:t>
      </w:r>
    </w:p>
    <w:p>
      <w:pPr>
        <w:spacing w:after="80"/>
      </w:pPr>
      <w:r>
        <w:rPr>
          <w:sz w:val="20"/>
        </w:rPr>
        <w:t xml:space="preserve">Инженерные системы здания: водоснабжение, водоотведение, ОВиК, тепловые сети, пожарная безопасность, слаботочные сети, газоснабжение, вертикальный транспорт и доступная среда.</w:t>
      </w:r>
    </w:p>
    <w:p>
      <w:pPr>
        <w:spacing w:after="80"/>
        <w:ind w:left="360" w:hanging="180"/>
      </w:pPr>
      <w:r>
        <w:t xml:space="preserve">• </w:t>
      </w:r>
      <w:r>
        <w:t xml:space="preserve">Водоснабжение и водоотведение: Водоснабжение, Сантехническое оборудование, Водоподготовка, Ливнево-очистные сооружения, Водоотведение, Наружные сети водоснабжения и канализации</w:t>
      </w:r>
    </w:p>
    <w:p>
      <w:pPr>
        <w:spacing w:after="80"/>
        <w:ind w:left="360" w:hanging="180"/>
      </w:pPr>
      <w:r>
        <w:t xml:space="preserve">• </w:t>
      </w:r>
      <w:r>
        <w:t xml:space="preserve">ОВиК и тепловые сети: Радиаторы, Система вентиляции воздуха, Система кондиционирования воздуха, Индивидуальный тепловой пункт, Тепловые завесы, Тепловые сети</w:t>
      </w:r>
    </w:p>
    <w:p>
      <w:pPr>
        <w:spacing w:after="80"/>
        <w:ind w:left="360" w:hanging="180"/>
      </w:pPr>
      <w:r>
        <w:t xml:space="preserve">• </w:t>
      </w:r>
      <w:r>
        <w:t xml:space="preserve">Пожарная безопасность: АПС</w:t>
      </w:r>
    </w:p>
    <w:p>
      <w:pPr>
        <w:spacing w:after="80"/>
        <w:ind w:left="360" w:hanging="180"/>
      </w:pPr>
      <w:r>
        <w:t xml:space="preserve">• </w:t>
      </w:r>
      <w:r>
        <w:t xml:space="preserve">Слаботочные сети и связь: Видеонаблюдение и сетевое оборудование, Кабельные сети и ВОЛС, Системы контроля и управления доступом, Системы охранной сигнализации, Системы сбора и обработки информации (ССОИ), Системы автоматизации пропускного режима, Системы периметральной охранной сигнализации, Системы связи и диспетчеризации</w:t>
      </w:r>
    </w:p>
    <w:p>
      <w:pPr>
        <w:spacing w:after="80"/>
        <w:ind w:left="360" w:hanging="180"/>
      </w:pPr>
      <w:r>
        <w:t xml:space="preserve">• </w:t>
      </w:r>
      <w:r>
        <w:t xml:space="preserve">Газоснабжение: Газоанализаторы</w:t>
      </w:r>
    </w:p>
    <w:p>
      <w:pPr>
        <w:spacing w:after="80"/>
        <w:ind w:left="360" w:hanging="180"/>
      </w:pPr>
      <w:r>
        <w:t xml:space="preserve">• </w:t>
      </w:r>
      <w:r>
        <w:t xml:space="preserve">Вертикальный транспорт: Подъемники, Автоматизация и диспетчеризация, Лифты, Эскалаторы и траволаторы</w:t>
      </w:r>
    </w:p>
    <w:p>
      <w:pPr>
        <w:spacing w:after="80"/>
        <w:ind w:left="360" w:hanging="180"/>
      </w:pPr>
      <w:r>
        <w:t xml:space="preserve">• </w:t>
      </w:r>
      <w:r>
        <w:t xml:space="preserve">Доступная среда: Подъемники, Поручни, Пандусы, Рампы и трапы, Пути движения по территории, Входная группа, Парковочные места, Вертикальное перемещение и другие системы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color w:val="a21d4b"/>
          <w:sz w:val="24"/>
        </w:rPr>
        <w:t xml:space="preserve">Энергетика</w:t>
      </w:r>
    </w:p>
    <w:p>
      <w:pPr>
        <w:spacing w:after="80"/>
      </w:pPr>
      <w:r>
        <w:rPr>
          <w:sz w:val="20"/>
        </w:rPr>
        <w:t xml:space="preserve">Электроснабжение, силовое оборудование, распределение, кабельные линии, щитовое оборудование и свет.</w:t>
      </w:r>
    </w:p>
    <w:p>
      <w:pPr>
        <w:spacing w:after="80"/>
        <w:ind w:left="360" w:hanging="180"/>
      </w:pPr>
      <w:r>
        <w:t xml:space="preserve">• </w:t>
      </w:r>
      <w:r>
        <w:t xml:space="preserve">ЭОМ: Электрооборудование, Световые приборы, Кабельная продукция различного и специального назначения, Наружное освещение, Внутреннее освещение, Охранное освещение, Трансформаторные и распределительные подстанции, Кабеленесущие системы</w:t>
      </w:r>
    </w:p>
    <w:p>
      <w:pPr>
        <w:spacing w:after="80"/>
        <w:ind w:left="360" w:hanging="180"/>
      </w:pPr>
      <w:r>
        <w:t xml:space="preserve">• </w:t>
      </w:r>
      <w:r>
        <w:t xml:space="preserve">Зарядная инфраструктура: Зарядочные станции для электромобилей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color w:val="a21d4b"/>
          <w:sz w:val="24"/>
        </w:rPr>
        <w:t xml:space="preserve">IT оборудование и ПО</w:t>
      </w:r>
    </w:p>
    <w:p>
      <w:pPr>
        <w:spacing w:after="80"/>
      </w:pPr>
      <w:r>
        <w:rPr>
          <w:sz w:val="20"/>
        </w:rPr>
        <w:t xml:space="preserve">Серверы, СХД, сетевое оборудование, рабочие станции, ПО, мониторинг и виртуализация.</w:t>
      </w:r>
    </w:p>
    <w:p>
      <w:pPr>
        <w:spacing w:after="80"/>
        <w:ind w:left="360" w:hanging="180"/>
      </w:pPr>
      <w:r>
        <w:t xml:space="preserve">• </w:t>
      </w:r>
      <w:r>
        <w:t xml:space="preserve">IT-инфраструктура: Серверы и ЦОД, Сетевое оборудование, ЦОД и инфраструктура, Рабочие станции, Корпоративные устройства, ПО и управление, Информационная безопасность</w:t>
      </w:r>
    </w:p>
    <w:p>
      <w:pPr>
        <w:spacing w:after="80"/>
      </w:pPr>
      <w:r>
        <w:t xml:space="preserve"/>
      </w:r>
    </w:p>
    <w:p>
      <w:pPr>
        <w:spacing w:after="80"/>
      </w:pPr>
      <w:r>
        <w:rPr>
          <w:b/>
          <w:color w:val="a21d4b"/>
          <w:sz w:val="24"/>
        </w:rPr>
        <w:t xml:space="preserve">ТХ оборудование</w:t>
      </w:r>
    </w:p>
    <w:p>
      <w:pPr>
        <w:spacing w:after="80"/>
      </w:pPr>
      <w:r>
        <w:rPr>
          <w:sz w:val="20"/>
        </w:rPr>
        <w:t xml:space="preserve">Технологическое оборудование, медицинские газы, досмотровое оборудование, мебель и технологическая комплектация.</w:t>
      </w:r>
    </w:p>
    <w:p>
      <w:pPr>
        <w:spacing w:after="80"/>
        <w:ind w:left="360" w:hanging="180"/>
      </w:pPr>
      <w:r>
        <w:t xml:space="preserve">• </w:t>
      </w:r>
      <w:r>
        <w:t xml:space="preserve">Технологическое оборудование: МАФ, Медицинские газы и оборудование, Комплектация, Досмотровое оборудование, Медийное оборудование, Мебель, Спортивное оборудование, Стеллажи и другие системы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color w:val="0f1f36"/>
          <w:sz w:val="28"/>
        </w:rPr>
        <w:t xml:space="preserve">5. Типовые сценарии разговора</w:t>
      </w:r>
    </w:p>
    <w:tbl>
      <w:tblPr>
        <w:tblStyle w:val="TableGrid"/>
        <w:tblW w:w="0" w:type="auto"/>
        <w:tblBorders>
          <w:top w:val="single" w:sz="4" w:color="d7dde8"/>
          <w:left w:val="single" w:sz="4" w:color="d7dde8"/>
          <w:bottom w:val="single" w:sz="4" w:color="d7dde8"/>
          <w:right w:val="single" w:sz="4" w:color="d7dde8"/>
          <w:insideH w:val="single" w:sz="4" w:color="d7dde8"/>
          <w:insideV w:val="single" w:sz="4" w:color="d7dde8"/>
        </w:tblBorders>
      </w:tblPr>
      <w:tblGrid>
        <w:gridCol w:w="4200"/>
        <w:gridCol w:w="7600"/>
      </w:tblGrid>
      <w:tr>
        <w:tc>
          <w:tcPr>
            <w:tcW w:w="4200" w:type="dxa"/>
            <w:shd w:fill="22314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b/>
                <w:color w:val="ffffff"/>
                <w:sz w:val="20"/>
              </w:rPr>
              <w:t xml:space="preserve">Ситуация клиента</w:t>
            </w:r>
          </w:p>
        </w:tc>
        <w:tc>
          <w:tcPr>
            <w:tcW w:w="7600" w:type="dxa"/>
            <w:shd w:fill="22314a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b/>
                <w:color w:val="ffffff"/>
                <w:sz w:val="20"/>
              </w:rPr>
              <w:t xml:space="preserve">Что делает менеджер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Клиент спрашивает, чем занимается ПНП</w:t>
            </w:r>
          </w:p>
        </w:tc>
        <w:tc>
          <w:tcPr>
            <w:tcW w:w="76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Отправить главную страницу и/или страницу «О компании». Коротко сказать: ПНП берёт на себя комплектацию объекта по разделам проекта.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Клиент не знает точное название позиции</w:t>
            </w:r>
          </w:p>
        </w:tc>
        <w:tc>
          <w:tcPr>
            <w:tcW w:w="76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Открыть каталог и пройти с ним по уровням: блок, направление, система, товарная группа.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Клиент прислал спецификацию или ведомость</w:t>
            </w:r>
          </w:p>
        </w:tc>
        <w:tc>
          <w:tcPr>
            <w:tcW w:w="76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Вести на страницу контактов или оформить заявку через мини-заявку. Важно получить файл, объект/город, сроки и контакт.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Клиент спрашивает конкретный бренд</w:t>
            </w:r>
          </w:p>
        </w:tc>
        <w:tc>
          <w:tcPr>
            <w:tcW w:w="76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Проверить страницу производителей или партнёров. Если бренда нет, принять запрос и подобрать аналог через менеджера.</w:t>
            </w:r>
          </w:p>
        </w:tc>
      </w:tr>
      <w:tr>
        <w:tc>
          <w:tcPr>
            <w:tcW w:w="42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Клиент выбирает товарную группу</w:t>
            </w:r>
          </w:p>
        </w:tc>
        <w:tc>
          <w:tcPr>
            <w:tcW w:w="7600" w:type="dxa"/>
            <w:shd w:fill="ffffff"/>
            <w:tcMar>
              <w:top w:w="90" w:type="dxa"/>
              <w:left w:w="120" w:type="dxa"/>
              <w:bottom w:w="90" w:type="dxa"/>
              <w:right w:w="120" w:type="dxa"/>
            </w:tcMar>
          </w:tcPr>
          <w:p>
            <w:pPr>
              <w:spacing w:after="80"/>
            </w:pPr>
            <w:r>
              <w:rPr>
                <w:color w:val="111827"/>
                <w:sz w:val="19"/>
              </w:rPr>
              <w:t xml:space="preserve">На финальной странице группы можно добавить тип продукции в мини-заявку и отправить запрос.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color w:val="0f1f36"/>
          <w:sz w:val="28"/>
        </w:rPr>
        <w:t xml:space="preserve">6. Важные ограничения</w:t>
      </w:r>
    </w:p>
    <w:p>
      <w:pPr>
        <w:spacing w:after="80"/>
        <w:ind w:left="360" w:hanging="180"/>
      </w:pPr>
      <w:r>
        <w:t xml:space="preserve">• </w:t>
      </w:r>
      <w:r>
        <w:t xml:space="preserve">Сайт помогает собрать и структурировать запрос, но финальную цену, наличие, сроки, сертификаты и документы подтверждает менеджер.</w:t>
      </w:r>
    </w:p>
    <w:p>
      <w:pPr>
        <w:spacing w:after="80"/>
        <w:ind w:left="360" w:hanging="180"/>
      </w:pPr>
      <w:r>
        <w:t xml:space="preserve">• </w:t>
      </w:r>
      <w:r>
        <w:t xml:space="preserve">Если клиент не нашёл нужную позицию в каталоге, это не отказ: нужно принять спецификацию или описание задачи через форму.</w:t>
      </w:r>
    </w:p>
    <w:p>
      <w:pPr>
        <w:spacing w:after="80"/>
        <w:ind w:left="360" w:hanging="180"/>
      </w:pPr>
      <w:r>
        <w:t xml:space="preserve">• </w:t>
      </w:r>
      <w:r>
        <w:t xml:space="preserve">Производители и партнёры на сайте — ориентир для подбора и доверия. Конкретное решение подбирается под объект, бюджет, сроки и требования проекта.</w:t>
      </w:r>
    </w:p>
    <w:sectPr>
      <w:pgSz w:w="11906" w:h="16838"/>
      <w:pgMar w:top="900" w:right="720" w:bottom="900" w:left="72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</w:rPr>
    </w:rPrDefault>
  </w:docDefaults>
  <w:style w:type="table" w:default="1" w:styleId="TableGrid">
    <w:name w:val="Table Grid"/>
  </w:style>
</w:styles>
</file>