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left"/>
      </w:pPr>
      <w:r>
        <w:rPr>
          <w:rFonts w:ascii="Arial" w:cs="Arial" w:eastAsia="Arial" w:hAnsi="Arial"/>
          <w:b/>
          <w:bCs/>
          <w:i w:val="false"/>
          <w:iCs w:val="false"/>
          <w:color w:val="1F3864"/>
          <w:sz w:val="52"/>
          <w:szCs w:val="52"/>
        </w:rPr>
        <w:t xml:space="preserve">SaaS ROI Model</w:t>
      </w:r>
    </w:p>
    <w:p>
      <w:pPr>
        <w:spacing w:before="0" w:after="80"/>
      </w:pPr>
      <w:r>
        <w:rPr>
          <w:rFonts w:ascii="Arial" w:cs="Arial" w:eastAsia="Arial" w:hAnsi="Arial"/>
          <w:b w:val="false"/>
          <w:bCs w:val="false"/>
          <w:i w:val="false"/>
          <w:iCs w:val="false"/>
          <w:color w:val="2E75B6"/>
          <w:sz w:val="28"/>
          <w:szCs w:val="28"/>
        </w:rPr>
        <w:t xml:space="preserve">B2C AI Image Generation  ·  US Market</w:t>
      </w:r>
    </w:p>
    <w:p>
      <w:pPr>
        <w:pBdr>
          <w:bottom w:val="single" w:color="2E75B6" w:sz="12" w:space="8"/>
        </w:pBdr>
        <w:spacing w:before="0" w:after="0"/>
      </w:pPr>
      <w:r>
        <w:rPr>
          <w:rFonts w:ascii="Arial" w:cs="Arial" w:eastAsia="Arial" w:hAnsi="Arial"/>
          <w:b w:val="false"/>
          <w:bCs w:val="false"/>
          <w:i/>
          <w:iCs/>
          <w:color w:val="595959"/>
          <w:sz w:val="22"/>
          <w:szCs w:val="22"/>
        </w:rPr>
        <w:t xml:space="preserve">Power BI Dashboard — User Documentation</w:t>
      </w:r>
    </w:p>
    <w:p>
      <w:pPr>
        <w:spacing w:before="40" w:after="0"/>
      </w:pPr>
      <w:r>
        <w:rPr>
          <w:rFonts w:ascii="Arial" w:cs="Arial" w:eastAsia="Arial" w:hAnsi="Arial"/>
          <w:b w:val="false"/>
          <w:bCs w:val="false"/>
          <w:i w:val="false"/>
          <w:iCs w:val="false"/>
          <w:color w:val="000000"/>
          <w:sz w:val="20"/>
          <w:szCs w:val="20"/>
        </w:rPr>
        <w:t xml:space="preserve"/>
      </w:r>
    </w:p>
    <w:p>
      <w:pPr>
        <w:spacing w:before="240" w:after="400"/>
      </w:pPr>
      <w:r>
        <w:rPr>
          <w:rFonts w:ascii="Arial" w:cs="Arial" w:eastAsia="Arial" w:hAnsi="Arial"/>
          <w:b w:val="false"/>
          <w:bCs w:val="false"/>
          <w:i w:val="false"/>
          <w:iCs w:val="false"/>
          <w:color w:val="595959"/>
          <w:sz w:val="20"/>
          <w:szCs w:val="20"/>
        </w:rPr>
        <w:t xml:space="preserve">This document explains how to use the Power BI dashboard built on the SaaS_ROI_PowerBI_v2.xlsx model, what each visualization shows, scenario analysis findings, metric definitions, and actionable recommendations for founders and investors.</w:t>
      </w:r>
    </w:p>
    <w:p>
      <w:pPr>
        <w:spacing w:before="0" w:after="0"/>
      </w:pPr>
      <w:r>
        <w:br w:type="page"/>
      </w:r>
    </w:p>
    <w:p>
      <w:pPr>
        <w:pStyle w:val="Heading1"/>
        <w:pBdr>
          <w:bottom w:val="single" w:color="2E75B6" w:sz="8" w:space="6"/>
        </w:pBdr>
        <w:spacing w:before="360" w:after="180"/>
      </w:pPr>
      <w:r>
        <w:rPr>
          <w:rFonts w:ascii="Arial" w:cs="Arial" w:eastAsia="Arial" w:hAnsi="Arial"/>
          <w:b/>
          <w:bCs/>
          <w:color w:val="1F3864"/>
          <w:sz w:val="36"/>
          <w:szCs w:val="36"/>
        </w:rPr>
        <w:t xml:space="preserve">1. How to Use the Dashboard</w:t>
      </w:r>
    </w:p>
    <w:p>
      <w:pPr>
        <w:pStyle w:val="Heading2"/>
        <w:spacing w:before="280" w:after="120"/>
      </w:pPr>
      <w:r>
        <w:rPr>
          <w:rFonts w:ascii="Arial" w:cs="Arial" w:eastAsia="Arial" w:hAnsi="Arial"/>
          <w:b/>
          <w:bCs/>
          <w:color w:val="1F4E79"/>
          <w:sz w:val="28"/>
          <w:szCs w:val="28"/>
        </w:rPr>
        <w:t xml:space="preserve">1.1  Loading the Data</w:t>
      </w:r>
    </w:p>
    <w:p>
      <w:pPr>
        <w:spacing w:before="0" w:after="140"/>
        <w:jc w:val="left"/>
      </w:pPr>
      <w:r>
        <w:rPr>
          <w:rFonts w:ascii="Arial" w:cs="Arial" w:eastAsia="Arial" w:hAnsi="Arial"/>
          <w:b w:val="false"/>
          <w:bCs w:val="false"/>
          <w:i w:val="false"/>
          <w:iCs w:val="false"/>
          <w:color w:val="000000"/>
          <w:sz w:val="20"/>
          <w:szCs w:val="20"/>
        </w:rPr>
        <w:t xml:space="preserve">The dashboard is powered by the Monthly_Data sheet in SaaS_ROI_PowerBI_v2.xlsx. To load or refresh it:</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Open Power BI Desktop.</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Click Home &gt; Get Data &gt; Excel Workbook.</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Select SaaS_ROI_PowerBI_v2.xlsx and check the Monthly_Data table. Click Load.</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To update after changing parameters in Excel: click Home &gt; Refresh in Power BI.</w:t>
      </w:r>
    </w:p>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1.2  The Scenario Slicer</w:t>
      </w:r>
    </w:p>
    <w:p>
      <w:pPr>
        <w:spacing w:before="0" w:after="140"/>
        <w:jc w:val="left"/>
      </w:pPr>
      <w:r>
        <w:rPr>
          <w:rFonts w:ascii="Arial" w:cs="Arial" w:eastAsia="Arial" w:hAnsi="Arial"/>
          <w:b w:val="false"/>
          <w:bCs w:val="false"/>
          <w:i w:val="false"/>
          <w:iCs w:val="false"/>
          <w:color w:val="000000"/>
          <w:sz w:val="20"/>
          <w:szCs w:val="20"/>
        </w:rPr>
        <w:t xml:space="preserve">The most important control on the dashboard is the Scenario slicer. It filters every chart and card simultaneously. Three values are available:</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Pessimistic — worst-case assumptions: high CAC ($120), high LLM cost ($18/user), low ARPU ($15), high churn (9%).</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Base Case — realistic assumptions for a new brand with no existing audience: CAC $70, LLM $12, ARPU $19, churn 7%.</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Optimistic — best-case assumptions assuming strong PLG and cost optimization: CAC $35, LLM $6, ARPU $29, churn 4%.</w:t>
      </w:r>
    </w:p>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To compare two scenarios side by side, hold Ctrl and click both scenario names in the slicer.</w:t>
      </w:r>
    </w:p>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1.3  The Visualizations</w:t>
      </w:r>
    </w:p>
    <w:p>
      <w:pPr>
        <w:spacing w:before="0" w:after="140"/>
        <w:jc w:val="left"/>
      </w:pPr>
      <w:r>
        <w:rPr>
          <w:rFonts w:ascii="Arial" w:cs="Arial" w:eastAsia="Arial" w:hAnsi="Arial"/>
          <w:b w:val="false"/>
          <w:bCs w:val="false"/>
          <w:i w:val="false"/>
          <w:iCs w:val="false"/>
          <w:color w:val="000000"/>
          <w:sz w:val="20"/>
          <w:szCs w:val="20"/>
        </w:rPr>
        <w:t xml:space="preserve">The dashboard contains four charts and four KPI cards, as defined in the DAX_Guide sheet of the Excel model.</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Chart 1 — Cumulative P&amp;L (Line Chart)</w:t>
      </w:r>
    </w:p>
    <w:p>
      <w:pPr>
        <w:spacing w:before="0" w:after="140"/>
        <w:jc w:val="left"/>
      </w:pPr>
      <w:r>
        <w:rPr>
          <w:rFonts w:ascii="Arial" w:cs="Arial" w:eastAsia="Arial" w:hAnsi="Arial"/>
          <w:b w:val="false"/>
          <w:bCs w:val="false"/>
          <w:i w:val="false"/>
          <w:iCs w:val="false"/>
          <w:color w:val="000000"/>
          <w:sz w:val="20"/>
          <w:szCs w:val="20"/>
        </w:rPr>
        <w:t xml:space="preserve">X-axis: Month (1–24). Y-axis: Cumulative_PnL_USD. A constant line at Y = 0 marks the break-even threshold. The moment the line crosses zero is when the business has fully recovered all invested capital including setup costs.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How to read it: a line staying below zero throughout the 24-month horizon means the scenario does not reach break-even within this model window.</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The steepness of the upward curve in later months shows momentum — how quickly the business is closing the deficit.</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Chart 2 — Revenue vs. Total Cost (Line Chart)</w:t>
      </w:r>
    </w:p>
    <w:p>
      <w:pPr>
        <w:spacing w:before="0" w:after="140"/>
        <w:jc w:val="left"/>
      </w:pPr>
      <w:r>
        <w:rPr>
          <w:rFonts w:ascii="Arial" w:cs="Arial" w:eastAsia="Arial" w:hAnsi="Arial"/>
          <w:b w:val="false"/>
          <w:bCs w:val="false"/>
          <w:i w:val="false"/>
          <w:iCs w:val="false"/>
          <w:color w:val="000000"/>
          <w:sz w:val="20"/>
          <w:szCs w:val="20"/>
        </w:rPr>
        <w:t xml:space="preserve">X-axis: Month. Y-axis: Revenue_USD and Total_Cost_USD overlaid. The point where the Revenue line crosses the Cost line is the monthly operational break-even — the first month the business is cash-flow positive on a monthly basis (distinct from cumulative break-even, which also accounts for setup costs).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This chart answers: when does the business stop burning money each month?</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In the Base Case, monthly revenue crosses monthly costs around Month 18–20, but the cumulative deficit is never recovered within 24 months.</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Chart 3 — User Growth (Area Chart)</w:t>
      </w:r>
    </w:p>
    <w:p>
      <w:pPr>
        <w:spacing w:before="0" w:after="140"/>
        <w:jc w:val="left"/>
      </w:pPr>
      <w:r>
        <w:rPr>
          <w:rFonts w:ascii="Arial" w:cs="Arial" w:eastAsia="Arial" w:hAnsi="Arial"/>
          <w:b w:val="false"/>
          <w:bCs w:val="false"/>
          <w:i w:val="false"/>
          <w:iCs w:val="false"/>
          <w:color w:val="000000"/>
          <w:sz w:val="20"/>
          <w:szCs w:val="20"/>
        </w:rPr>
        <w:t xml:space="preserve">X-axis: Month. Y-axis: Users_Paid. Shows how the paying user base compounds over time from the combination of paid acquisition, organic growth, and churn.</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In the Pessimistic scenario, growth is negligible because the contribution margin per user is negative — more revenue from new users actually increases losses.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In the Optimistic scenario, the growth curve accelerates sharply after Month 6 due to the compounding effect of organic growth on a large base and low churn.</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Chart 4 — Monthly P&amp;L (Column Chart)</w:t>
      </w:r>
    </w:p>
    <w:p>
      <w:pPr>
        <w:spacing w:before="0" w:after="140"/>
        <w:jc w:val="left"/>
      </w:pPr>
      <w:r>
        <w:rPr>
          <w:rFonts w:ascii="Arial" w:cs="Arial" w:eastAsia="Arial" w:hAnsi="Arial"/>
          <w:b w:val="false"/>
          <w:bCs w:val="false"/>
          <w:i w:val="false"/>
          <w:iCs w:val="false"/>
          <w:color w:val="000000"/>
          <w:sz w:val="20"/>
          <w:szCs w:val="20"/>
        </w:rPr>
        <w:t xml:space="preserve">X-axis: Month. Y-axis: Monthly_PnL_USD. Each bar shows whether that specific month was profitable or not. Green bars = profit, red bars = loss.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This chart is most useful for understanding the monthly burn rate and identifying when monthly losses start to shrink.</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In the Base Case, the monthly deficit gradually narrows but does not turn green within 24 months.</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KPI Cards</w:t>
      </w:r>
    </w:p>
    <w:p>
      <w:pPr>
        <w:spacing w:before="0" w:after="140"/>
        <w:jc w:val="left"/>
      </w:pPr>
      <w:r>
        <w:rPr>
          <w:rFonts w:ascii="Arial" w:cs="Arial" w:eastAsia="Arial" w:hAnsi="Arial"/>
          <w:b w:val="false"/>
          <w:bCs w:val="false"/>
          <w:i w:val="false"/>
          <w:iCs w:val="false"/>
          <w:color w:val="000000"/>
          <w:sz w:val="20"/>
          <w:szCs w:val="20"/>
        </w:rPr>
        <w:t xml:space="preserve">Four summary cards sit at the top of the dashboard:</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Break-even Month — the first month where Cumulative PnL &gt;= 0. Shows 'Blank' if not reached.</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Final Cumulative PnL — the total cumulative P&amp;L at Month 24. Negative means the total loss after 2 years.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LTV/CAC Ratio — the lifetime value to acquisition cost ratio at Month 24. The primary unit economics health signal.</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Total Revenue — sum of all monthly revenues across the 24-month horizon.</w:t>
      </w:r>
    </w:p>
    <w:p>
      <w:pPr>
        <w:spacing w:before="200" w:after="0"/>
      </w:pPr>
      <w:r>
        <w:rPr>
          <w:rFonts w:ascii="Arial" w:cs="Arial" w:eastAsia="Arial" w:hAnsi="Arial"/>
          <w:b w:val="false"/>
          <w:bCs w:val="false"/>
          <w:i w:val="false"/>
          <w:iCs w:val="false"/>
          <w:color w:val="000000"/>
          <w:sz w:val="20"/>
          <w:szCs w:val="20"/>
        </w:rPr>
        <w:t xml:space="preserve"/>
      </w:r>
    </w:p>
    <w:p>
      <w:pPr>
        <w:spacing w:before="0" w:after="0"/>
      </w:pPr>
      <w:r>
        <w:br w:type="page"/>
      </w:r>
    </w:p>
    <w:p>
      <w:pPr>
        <w:pStyle w:val="Heading1"/>
        <w:pBdr>
          <w:bottom w:val="single" w:color="2E75B6" w:sz="8" w:space="6"/>
        </w:pBdr>
        <w:spacing w:before="360" w:after="180"/>
      </w:pPr>
      <w:r>
        <w:rPr>
          <w:rFonts w:ascii="Arial" w:cs="Arial" w:eastAsia="Arial" w:hAnsi="Arial"/>
          <w:b/>
          <w:bCs/>
          <w:color w:val="1F3864"/>
          <w:sz w:val="36"/>
          <w:szCs w:val="36"/>
        </w:rPr>
        <w:t xml:space="preserve">2. Scenario Analysis &amp; Findings</w:t>
      </w:r>
    </w:p>
    <w:p>
      <w:pPr>
        <w:pStyle w:val="Heading2"/>
        <w:spacing w:before="280" w:after="120"/>
      </w:pPr>
      <w:r>
        <w:rPr>
          <w:rFonts w:ascii="Arial" w:cs="Arial" w:eastAsia="Arial" w:hAnsi="Arial"/>
          <w:b/>
          <w:bCs/>
          <w:color w:val="1F4E79"/>
          <w:sz w:val="28"/>
          <w:szCs w:val="28"/>
        </w:rPr>
        <w:t xml:space="preserve">2.1  Results Summary</w:t>
      </w:r>
    </w:p>
    <w:p>
      <w:pPr>
        <w:spacing w:before="80" w:after="0"/>
      </w:pPr>
      <w:r>
        <w:rPr>
          <w:rFonts w:ascii="Arial" w:cs="Arial" w:eastAsia="Arial" w:hAnsi="Arial"/>
          <w:b w:val="false"/>
          <w:bCs w:val="false"/>
          <w:i w:val="false"/>
          <w:iCs w:val="false"/>
          <w:color w:val="000000"/>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Pessimistic</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Base Case</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Optimistic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Break-even Month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Not reached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Not reached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Month 7</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Cumulative PnL (M24)</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-$35,518</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-$28,824</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+$3,526,979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Users at Month 24</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133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73,593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Revenue/mo at M24</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$405</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$2,523</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$2,134,205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ARPU</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$19</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$29</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CAC</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$120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$70</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LLM Cost/User/mo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$12</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$6</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Contribution Margin</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-$3/user</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$7/user</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$23/user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Gross Margin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37%</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79%</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LTV</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-$33</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$100</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$575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LTV/CAC Ratio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-0.3x</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1.4x</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16.4x</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CAC Payback</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N/A</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10 months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1.5 months</w:t>
            </w:r>
          </w:p>
        </w:tc>
      </w:tr>
    </w:tbl>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2.2  Pessimistic Scenario — Critical Unit Economics Failure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single" w:color="2E75B6" w:sz="12"/>
              <w:bottom w:val="single" w:color="AAAAAA" w:sz="1"/>
              <w:right w:val="single" w:color="AAAAAA" w:sz="1"/>
            </w:tcBorders>
            <w:shd w:fill="FCE4D6" w:val="clear"/>
            <w:tcMar>
              <w:top w:type="dxa" w:w="120"/>
              <w:left w:type="dxa" w:w="180"/>
              <w:bottom w:type="dxa" w:w="120"/>
              <w:right w:type="dxa" w:w="180"/>
            </w:tcMar>
          </w:tcPr>
          <w:p>
            <w:pPr>
              <w:spacing w:before="0" w:after="60"/>
            </w:pPr>
            <w:r>
              <w:rPr>
                <w:rFonts w:ascii="Arial" w:cs="Arial" w:eastAsia="Arial" w:hAnsi="Arial"/>
                <w:b/>
                <w:bCs/>
                <w:i w:val="false"/>
                <w:iCs w:val="false"/>
                <w:color w:val="C00000"/>
                <w:sz w:val="18"/>
                <w:szCs w:val="18"/>
              </w:rPr>
              <w:t xml:space="preserve">Verdict: Non-viable without fundamental changes</w:t>
            </w:r>
          </w:p>
          <w:p>
            <w:pPr>
              <w:spacing w:before="0" w:after="0"/>
            </w:pPr>
            <w:r>
              <w:rPr>
                <w:rFonts w:ascii="Arial" w:cs="Arial" w:eastAsia="Arial" w:hAnsi="Arial"/>
                <w:b w:val="false"/>
                <w:bCs w:val="false"/>
                <w:i w:val="false"/>
                <w:iCs w:val="false"/>
                <w:color w:val="000000"/>
                <w:sz w:val="19"/>
                <w:szCs w:val="19"/>
              </w:rPr>
              <w:t xml:space="preserve">The business does not break even within 24 months and accumulates a loss of $35,518. More critically, the contribution margin per user is negative at -$3/user (ARPU $15 minus LLM cost $18). This means every additional user increases losses. No amount of growth can fix a negative contribution margin — this is a structural problem, not a scale problem.</w:t>
            </w:r>
          </w:p>
        </w:tc>
      </w:tr>
    </w:tbl>
    <w:p>
      <w:pPr>
        <w:spacing w:before="12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Key driver of failure: LLM costs ($18/user/month) exceed ARPU ($15). This makes the product economically impossible to operate profitably at any scale unless either the price is raised or the AI infrastructure cost is reduced.</w:t>
      </w:r>
    </w:p>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What needs to change in this scenario:</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Raise ARPU above $18 (minimum viable price point given these AI costs).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Or reduce LLM costs below $15 through model optimization, caching, or usage limits.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Both levers simultaneously would be the fastest path out.</w:t>
      </w:r>
    </w:p>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2.3  Base Case Scenario — Viable Model, Insufficient Horizon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single" w:color="2E75B6" w:sz="12"/>
              <w:bottom w:val="single" w:color="AAAAAA" w:sz="1"/>
              <w:right w:val="single" w:color="AAAAAA" w:sz="1"/>
            </w:tcBorders>
            <w:shd w:fill="FFFACD" w:val="clear"/>
            <w:tcMar>
              <w:top w:type="dxa" w:w="120"/>
              <w:left w:type="dxa" w:w="180"/>
              <w:bottom w:type="dxa" w:w="120"/>
              <w:right w:type="dxa" w:w="180"/>
            </w:tcMar>
          </w:tcPr>
          <w:p>
            <w:pPr>
              <w:spacing w:before="0" w:after="60"/>
            </w:pPr>
            <w:r>
              <w:rPr>
                <w:rFonts w:ascii="Arial" w:cs="Arial" w:eastAsia="Arial" w:hAnsi="Arial"/>
                <w:b/>
                <w:bCs/>
                <w:i w:val="false"/>
                <w:iCs w:val="false"/>
                <w:color w:val="C55A11"/>
                <w:sz w:val="18"/>
                <w:szCs w:val="18"/>
              </w:rPr>
              <w:t xml:space="preserve">Verdict: Economically sound, but break-even requires beyond 24 months</w:t>
            </w:r>
          </w:p>
          <w:p>
            <w:pPr>
              <w:spacing w:before="0" w:after="0"/>
            </w:pPr>
            <w:r>
              <w:rPr>
                <w:rFonts w:ascii="Arial" w:cs="Arial" w:eastAsia="Arial" w:hAnsi="Arial"/>
                <w:b w:val="false"/>
                <w:bCs w:val="false"/>
                <w:i w:val="false"/>
                <w:iCs w:val="false"/>
                <w:color w:val="000000"/>
                <w:sz w:val="19"/>
                <w:szCs w:val="19"/>
              </w:rPr>
              <w:t xml:space="preserve">The Base Case has positive unit economics: contribution margin is $7/user (ARPU $19 minus LLM $12), gross margin is 37%, and CAC payback is 10 months. LTV/CAC of 1.4x is below the investor threshold of 3x, but the model is structurally functional. The problem is growth speed: with CAC at $70 and a marketing budget capped at 35% of revenue, the user base grows too slowly to generate enough revenue to offset the fixed costs within 24 months.</w:t>
            </w:r>
          </w:p>
        </w:tc>
      </w:tr>
    </w:tbl>
    <w:p>
      <w:pPr>
        <w:spacing w:before="12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At Month 24, the business has 133 paying users generating $2,523/month in revenue against $3,700+ in monthly costs. The deficit is still widening slowly. Break-even would occur approximately around Month 36–40 if parameters hold constant.</w:t>
      </w:r>
    </w:p>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What needs to change in the Base Case to reach break-even within 24 months: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Reduce LLM cost to below $8/user — this alone would push contribution margin to $11 and LTV/CAC above 2x.</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Or raise ARPU to $25+ through tiered pricing or annual plans.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Or reduce churn from 7% to 4% — this extends user lifetime by 75% and nearly doubles LTV.</w:t>
      </w:r>
    </w:p>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2.4  Optimistic Scenario — Strong Economics, Aggressive Assumptions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single" w:color="2E75B6" w:sz="12"/>
              <w:bottom w:val="single" w:color="AAAAAA" w:sz="1"/>
              <w:right w:val="single" w:color="AAAAAA" w:sz="1"/>
            </w:tcBorders>
            <w:shd w:fill="E2EFDA" w:val="clear"/>
            <w:tcMar>
              <w:top w:type="dxa" w:w="120"/>
              <w:left w:type="dxa" w:w="180"/>
              <w:bottom w:type="dxa" w:w="120"/>
              <w:right w:type="dxa" w:w="180"/>
            </w:tcMar>
          </w:tcPr>
          <w:p>
            <w:pPr>
              <w:spacing w:before="0" w:after="60"/>
            </w:pPr>
            <w:r>
              <w:rPr>
                <w:rFonts w:ascii="Arial" w:cs="Arial" w:eastAsia="Arial" w:hAnsi="Arial"/>
                <w:b/>
                <w:bCs/>
                <w:i w:val="false"/>
                <w:iCs w:val="false"/>
                <w:color w:val="375623"/>
                <w:sz w:val="18"/>
                <w:szCs w:val="18"/>
              </w:rPr>
              <w:t xml:space="preserve">Verdict: Highly profitable by Month 7, but assumptions require validation</w:t>
            </w:r>
          </w:p>
          <w:p>
            <w:pPr>
              <w:spacing w:before="0" w:after="0"/>
            </w:pPr>
            <w:r>
              <w:rPr>
                <w:rFonts w:ascii="Arial" w:cs="Arial" w:eastAsia="Arial" w:hAnsi="Arial"/>
                <w:b w:val="false"/>
                <w:bCs w:val="false"/>
                <w:i w:val="false"/>
                <w:iCs w:val="false"/>
                <w:color w:val="000000"/>
                <w:sz w:val="19"/>
                <w:szCs w:val="19"/>
              </w:rPr>
              <w:t xml:space="preserve">Break-even at Month 7 with a cumulative profit of $3.5M by Month 24. The engine is the compounding combination of low CAC ($35), low LLM cost ($6), low churn (4%), strong organic growth (6%/month), and higher ARPU ($29). LTV/CAC of 16.4x and CAC payback of 1.5 months represent world-class unit economics for B2C SaaS.</w:t>
            </w:r>
          </w:p>
        </w:tc>
      </w:tr>
    </w:tbl>
    <w:p>
      <w:pPr>
        <w:spacing w:before="12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Important caveat: the Optimistic scenario requires simultaneously achieving best-in-class performance across all dimensions. CAC of $35 requires a working PLG loop. LLM cost of $6 requires significant infrastructure optimization. Churn of 4% requires an exceptionally sticky product. Organic growth of 6%/month requires built-in virality.</w:t>
      </w:r>
    </w:p>
    <w:p>
      <w:pPr>
        <w:spacing w:before="0" w:after="140"/>
        <w:jc w:val="left"/>
      </w:pPr>
      <w:r>
        <w:rPr>
          <w:rFonts w:ascii="Arial" w:cs="Arial" w:eastAsia="Arial" w:hAnsi="Arial"/>
          <w:b w:val="false"/>
          <w:bCs w:val="false"/>
          <w:i w:val="false"/>
          <w:iCs w:val="false"/>
          <w:color w:val="000000"/>
          <w:sz w:val="20"/>
          <w:szCs w:val="20"/>
        </w:rPr>
        <w:t xml:space="preserve">These are achievable individually but achieving all of them together at pre-product-market-fit stage is unlikely. The Optimistic scenario should be treated as the long-term target state, not the near-term plan.</w:t>
      </w:r>
    </w:p>
    <w:p>
      <w:pPr>
        <w:spacing w:before="200" w:after="0"/>
      </w:pPr>
      <w:r>
        <w:rPr>
          <w:rFonts w:ascii="Arial" w:cs="Arial" w:eastAsia="Arial" w:hAnsi="Arial"/>
          <w:b w:val="false"/>
          <w:bCs w:val="false"/>
          <w:i w:val="false"/>
          <w:iCs w:val="false"/>
          <w:color w:val="000000"/>
          <w:sz w:val="20"/>
          <w:szCs w:val="20"/>
        </w:rPr>
        <w:t xml:space="preserve"/>
      </w:r>
    </w:p>
    <w:p>
      <w:pPr>
        <w:spacing w:before="0" w:after="0"/>
      </w:pPr>
      <w:r>
        <w:br w:type="page"/>
      </w:r>
    </w:p>
    <w:p>
      <w:pPr>
        <w:pStyle w:val="Heading1"/>
        <w:pBdr>
          <w:bottom w:val="single" w:color="2E75B6" w:sz="8" w:space="6"/>
        </w:pBdr>
        <w:spacing w:before="360" w:after="180"/>
      </w:pPr>
      <w:r>
        <w:rPr>
          <w:rFonts w:ascii="Arial" w:cs="Arial" w:eastAsia="Arial" w:hAnsi="Arial"/>
          <w:b/>
          <w:bCs/>
          <w:color w:val="1F3864"/>
          <w:sz w:val="36"/>
          <w:szCs w:val="36"/>
        </w:rPr>
        <w:t xml:space="preserve">3. Key Metric Definitions</w:t>
      </w:r>
    </w:p>
    <w:p>
      <w:pPr>
        <w:spacing w:before="0" w:after="140"/>
        <w:jc w:val="left"/>
      </w:pPr>
      <w:r>
        <w:rPr>
          <w:rFonts w:ascii="Arial" w:cs="Arial" w:eastAsia="Arial" w:hAnsi="Arial"/>
          <w:b w:val="false"/>
          <w:bCs w:val="false"/>
          <w:i w:val="false"/>
          <w:iCs w:val="false"/>
          <w:color w:val="000000"/>
          <w:sz w:val="20"/>
          <w:szCs w:val="20"/>
        </w:rPr>
        <w:t xml:space="preserve">All metrics in the Monthly_Data table are calculated using the following formulas. Parameters are sourced from the Parameters sheet and flow through to every row via Excel cell references — changing any yellow input cell recalculates the entire model.</w:t>
      </w:r>
    </w:p>
    <w:p>
      <w:pPr>
        <w:spacing w:before="80" w:after="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Formula</w:t>
            </w:r>
          </w:p>
        </w:tc>
        <w:tc>
          <w:tcPr>
            <w:tcW w:type="dxa" w:w="5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What it tells you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ARPU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Revenue / Users_Paid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Average monthly revenue per paying user. The ceiling of your monetization.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CAC</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Marketing_USD / Users_New_Paid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What you spend to acquire one paying customer. Lower = more efficient growth.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Contribution Margin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ARPU − LLM_Cost_Per_User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Profit per user before fixed costs. Must be positive for the business to be viable.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Gross Margin %</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Gross_Profit / Revenue</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Revenue minus direct AI costs only. Healthy SaaS target: &gt;60%.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LTV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(ARPU − LLM Cost) / Churn Rate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Lifetime value of one user. How much they generate before churning.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LTV/CAC Ratio</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LTV / CAC</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Core unit economics health check. &gt;3x = acceptable. &gt;5x = strong.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CAC Payback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CAC / (ARPU − LLM Cost)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Months to recover the cost of acquiring one user. &lt;12 months = healthy.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Monthly PnL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Revenue − Total_Cost_USD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Month-by-month profit or loss, excluding prior periods.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Cumulative PnL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Sum of all Monthly PnL − Setup Cost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Total invested minus total earned since day one. Reaches zero at break-even.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Breakeven Flag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 if Cumulative PnL &gt;= 0, else 0</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Binary flag used by Power BI to locate the break-even month.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Churn Rate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Users_Churned / Prior Month Users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 of paying users lost each month. The single biggest lever on LTV.</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Marketing %</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Marketing_USD / Prior Month Revenue</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Marketing spend as a share of revenue. Keeps acquisition spend sustainable.</w:t>
            </w:r>
          </w:p>
        </w:tc>
      </w:tr>
    </w:tbl>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Note on Marketing logic: the marketing budget is calculated as MAX(floor, prior month revenue x marketing %). In Month 1 there is no prior revenue, so only the floor applies. This design ensures the model does not stall at zero in the early months while keeping marketing spend sustainable as revenue grows.</w:t>
      </w:r>
    </w:p>
    <w:p>
      <w:pPr>
        <w:spacing w:before="200" w:after="0"/>
      </w:pPr>
      <w:r>
        <w:rPr>
          <w:rFonts w:ascii="Arial" w:cs="Arial" w:eastAsia="Arial" w:hAnsi="Arial"/>
          <w:b w:val="false"/>
          <w:bCs w:val="false"/>
          <w:i w:val="false"/>
          <w:iCs w:val="false"/>
          <w:color w:val="000000"/>
          <w:sz w:val="20"/>
          <w:szCs w:val="20"/>
        </w:rPr>
        <w:t xml:space="preserve"/>
      </w:r>
    </w:p>
    <w:p>
      <w:pPr>
        <w:spacing w:before="0" w:after="0"/>
      </w:pPr>
      <w:r>
        <w:br w:type="page"/>
      </w:r>
    </w:p>
    <w:p>
      <w:pPr>
        <w:pStyle w:val="Heading1"/>
        <w:pBdr>
          <w:bottom w:val="single" w:color="2E75B6" w:sz="8" w:space="6"/>
        </w:pBdr>
        <w:spacing w:before="360" w:after="180"/>
      </w:pPr>
      <w:r>
        <w:rPr>
          <w:rFonts w:ascii="Arial" w:cs="Arial" w:eastAsia="Arial" w:hAnsi="Arial"/>
          <w:b/>
          <w:bCs/>
          <w:color w:val="1F3864"/>
          <w:sz w:val="36"/>
          <w:szCs w:val="36"/>
        </w:rPr>
        <w:t xml:space="preserve">4. Recommendations</w:t>
      </w:r>
    </w:p>
    <w:p>
      <w:pPr>
        <w:pStyle w:val="Heading2"/>
        <w:spacing w:before="280" w:after="120"/>
      </w:pPr>
      <w:r>
        <w:rPr>
          <w:rFonts w:ascii="Arial" w:cs="Arial" w:eastAsia="Arial" w:hAnsi="Arial"/>
          <w:b/>
          <w:bCs/>
          <w:color w:val="1F4E79"/>
          <w:sz w:val="28"/>
          <w:szCs w:val="28"/>
        </w:rPr>
        <w:t xml:space="preserve">4.1  How to Build This Business to Ensure Profitability</w:t>
      </w:r>
    </w:p>
    <w:p>
      <w:pPr>
        <w:pStyle w:val="Heading3"/>
        <w:spacing w:before="200" w:after="80"/>
      </w:pPr>
      <w:r>
        <w:rPr>
          <w:rFonts w:ascii="Arial" w:cs="Arial" w:eastAsia="Arial" w:hAnsi="Arial"/>
          <w:b/>
          <w:bCs/>
          <w:color w:val="2E75B6"/>
          <w:sz w:val="22"/>
          <w:szCs w:val="22"/>
        </w:rPr>
        <w:t xml:space="preserve">Step 1 — Fix unit economics before scaling (Months 1–4)</w:t>
      </w:r>
    </w:p>
    <w:p>
      <w:pPr>
        <w:spacing w:before="0" w:after="140"/>
        <w:jc w:val="left"/>
      </w:pPr>
      <w:r>
        <w:rPr>
          <w:rFonts w:ascii="Arial" w:cs="Arial" w:eastAsia="Arial" w:hAnsi="Arial"/>
          <w:b w:val="false"/>
          <w:bCs w:val="false"/>
          <w:i w:val="false"/>
          <w:iCs w:val="false"/>
          <w:color w:val="000000"/>
          <w:sz w:val="20"/>
          <w:szCs w:val="20"/>
        </w:rPr>
        <w:t xml:space="preserve">The single most dangerous mistake is scaling marketing spend before the contribution margin is positive. In the Pessimistic scenario, spending more on acquisition accelerates losses. Before investing in growth, validate:</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That ARPU exceeds LLM cost per user by at least $8–10.</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That users who convert to paid stick for at least 3 months on average (i.e., churn below 8%).</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That CAC can realistically be brought below $50 with organic or PLG channels.</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Step 2 — Build a PLG loop before scaling paid acquisition</w:t>
      </w:r>
    </w:p>
    <w:p>
      <w:pPr>
        <w:spacing w:before="0" w:after="140"/>
        <w:jc w:val="left"/>
      </w:pPr>
      <w:r>
        <w:rPr>
          <w:rFonts w:ascii="Arial" w:cs="Arial" w:eastAsia="Arial" w:hAnsi="Arial"/>
          <w:b w:val="false"/>
          <w:bCs w:val="false"/>
          <w:i w:val="false"/>
          <w:iCs w:val="false"/>
          <w:color w:val="000000"/>
          <w:sz w:val="20"/>
          <w:szCs w:val="20"/>
        </w:rPr>
        <w:t xml:space="preserve">At CAC $70, the payback period is 10 months in the Base Case. Reducing CAC is the fastest lever to accelerate break-even. B2C AI image tools have a natural PLG mechanism: every image generated is a potential share. Build this into the product from day one:</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Add a subtle watermark or 'Made with [Product]' attribution to exports (opt-out for paid tiers).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Create shareable gallery links so users show off their work.</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Build a referral program offering extra generation credits, not discounts.</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Step 3 — Optimize LLM costs early, not later</w:t>
      </w:r>
    </w:p>
    <w:p>
      <w:pPr>
        <w:spacing w:before="0" w:after="140"/>
        <w:jc w:val="left"/>
      </w:pPr>
      <w:r>
        <w:rPr>
          <w:rFonts w:ascii="Arial" w:cs="Arial" w:eastAsia="Arial" w:hAnsi="Arial"/>
          <w:b w:val="false"/>
          <w:bCs w:val="false"/>
          <w:i w:val="false"/>
          <w:iCs w:val="false"/>
          <w:color w:val="000000"/>
          <w:sz w:val="20"/>
          <w:szCs w:val="20"/>
        </w:rPr>
        <w:t xml:space="preserve">LLM cost is the only variable cost that scales linearly with users. At $12/user in the Base Case, it consumes 63% of ARPU. Prioritize these cost reduction strategies: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Prompt caching: identical or similar prompts return cached results. Can reduce costs by 30–50% for common use cases.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Model routing: use cheaper models (SDXL, FLUX Schnell) for drafts and previews, expensive models only for final outputs.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Usage caps by plan: limit free tier to 10 generations/month, basic paid to 50. This prevents heavy users from destroying margins.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Batch processing: off-peak generation queues can reduce API costs on some providers.</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Step 4 — Price for the market, not the cost</w:t>
      </w:r>
    </w:p>
    <w:p>
      <w:pPr>
        <w:spacing w:before="0" w:after="140"/>
        <w:jc w:val="left"/>
      </w:pPr>
      <w:r>
        <w:rPr>
          <w:rFonts w:ascii="Arial" w:cs="Arial" w:eastAsia="Arial" w:hAnsi="Arial"/>
          <w:b w:val="false"/>
          <w:bCs w:val="false"/>
          <w:i w:val="false"/>
          <w:iCs w:val="false"/>
          <w:color w:val="000000"/>
          <w:sz w:val="20"/>
          <w:szCs w:val="20"/>
        </w:rPr>
        <w:t xml:space="preserve">The Base Case ARPU of $19 is at the competitive midpoint. To justify $25–$29, the product needs a clear differentiation story. Options: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Annual plan discount: $190/year vs $19/month gives users 2 months free and locks in 12 months of revenue, improving LTV and reducing churn.</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Tiered pricing: $9 hobby / $19 creator / $39 pro. The pro tier with team features, API access, or commercial licensing justifies the higher price.</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Usage-based upside: a base subscription plus per-generation credits for heavy users captures value from power users without deterring casual ones.</w:t>
      </w:r>
    </w:p>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4.2  Key Metrics for Investors to Monitor</w:t>
      </w:r>
    </w:p>
    <w:p>
      <w:pPr>
        <w:spacing w:before="80" w:after="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KPI</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Target (B2C AI SaaS)</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LTV/CAC Ratio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&gt; 3x (aim for 5x+)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Proves unit economics are viable before scaling spend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CAC Payback Period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&lt; 12 months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Shows capital efficiency — how fast money comes back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Gross Margin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&gt; 60%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Validates that the AI cost structure can support a scalable business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Monthly Churn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&lt; 5% (&lt; 3% = strong)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Drives LTV. High churn destroys compounding user growth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MoM User Growth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&gt; 10–15% early stage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Signals product-market fit and channel effectiveness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Cumulative PnL Trend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Narrowing deficit monthly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Confirms path to break-even exists within runway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Revenue per 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Consistent growth curve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Validates that ARPU x Users is compounding, not flat</w:t>
            </w:r>
          </w:p>
        </w:tc>
      </w:tr>
    </w:tbl>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The single most important dashboard view for an investor is the Cumulative P&amp;L chart filtered to Base Case. A line that is consistently flattening and approaching zero indicates the model is working. A line that is still declining steeply at Month 12 is a warning signal that the parameters need to change before the next funding round.</w:t>
      </w:r>
    </w:p>
    <w:p>
      <w:pPr>
        <w:spacing w:before="160" w:after="0"/>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1F4E79"/>
          <w:sz w:val="28"/>
          <w:szCs w:val="28"/>
        </w:rPr>
        <w:t xml:space="preserve">4.3  Key Metrics for Founders to Track Weekly</w:t>
      </w:r>
    </w:p>
    <w:p>
      <w:pPr>
        <w:pStyle w:val="Heading3"/>
        <w:spacing w:before="200" w:after="80"/>
      </w:pPr>
      <w:r>
        <w:rPr>
          <w:rFonts w:ascii="Arial" w:cs="Arial" w:eastAsia="Arial" w:hAnsi="Arial"/>
          <w:b/>
          <w:bCs/>
          <w:color w:val="2E75B6"/>
          <w:sz w:val="22"/>
          <w:szCs w:val="22"/>
        </w:rPr>
        <w:t xml:space="preserve">The three numbers that determine everything:</w:t>
      </w:r>
    </w:p>
    <w:p>
      <w:pPr>
        <w:spacing w:before="60" w:after="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Current (Base)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Target to hit BE</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How to improve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Contribution Margin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$7/user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&gt; $12/user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Raise ARPU via annual plans, tiered pricing, or usage limits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LLM Cost/User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$12/mo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&lt; $7/mo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Prompt caching, batching, model routing (cheap for simple tasks)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Monthly Churn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&lt; 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Onboarding flow, habit-forming features, email reactivation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CAC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$70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&lt; $40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PLG loop (share output on social), referral program, SEO 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ARPU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&gt; $25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Annual plan discount, Pro tier with extra features/volume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9"/>
                <w:szCs w:val="19"/>
              </w:rPr>
              <w:t xml:space="preserve">Organic Growth Rate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3%/mo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&gt; 5%/mo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000000"/>
                <w:sz w:val="19"/>
                <w:szCs w:val="19"/>
              </w:rPr>
              <w:t xml:space="preserve">Watermark on exports, shareable galleries, creator community</w:t>
            </w:r>
          </w:p>
        </w:tc>
      </w:tr>
    </w:tbl>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The contribution margin ($7 in Base Case) is the founder's North Star. Every product, pricing, and infrastructure decision should be evaluated by whether it moves this number up. A contribution margin above $12–15 is the threshold at which the Base Case model reaches break-even within 24 months.</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Weekly tracking cadence:</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Monday: new signups, free-to-paid conversions, churn cancellations from the prior week.</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Wednesday: LLM cost per user for the trailing 7 days (watch for spikes from power users).</w:t>
      </w:r>
    </w:p>
    <w:p>
      <w:pPr>
        <w:pStyle w:val="ListParagraph"/>
        <w:numPr>
          <w:ilvl w:val="0"/>
          <w:numId w:val="3"/>
        </w:numPr>
        <w:spacing w:before="0" w:after="80"/>
      </w:pPr>
      <w:r>
        <w:rPr>
          <w:rFonts w:ascii="Arial" w:cs="Arial" w:eastAsia="Arial" w:hAnsi="Arial"/>
          <w:b w:val="false"/>
          <w:bCs w:val="false"/>
          <w:i w:val="false"/>
          <w:iCs w:val="false"/>
          <w:color w:val="000000"/>
          <w:sz w:val="20"/>
          <w:szCs w:val="20"/>
        </w:rPr>
        <w:t xml:space="preserve">Friday: weekly revenue run rate and cumulative PnL vs. plan.</w:t>
      </w:r>
    </w:p>
    <w:p>
      <w:pPr>
        <w:spacing w:before="160" w:after="0"/>
      </w:pPr>
      <w:r>
        <w:rPr>
          <w:rFonts w:ascii="Arial" w:cs="Arial" w:eastAsia="Arial" w:hAnsi="Arial"/>
          <w:b w:val="false"/>
          <w:bCs w:val="false"/>
          <w:i w:val="false"/>
          <w:iCs w:val="false"/>
          <w:color w:val="000000"/>
          <w:sz w:val="20"/>
          <w:szCs w:val="20"/>
        </w:rPr>
        <w:t xml:space="preserve"/>
      </w:r>
    </w:p>
    <w:p>
      <w:pPr>
        <w:pStyle w:val="Heading3"/>
        <w:spacing w:before="200" w:after="80"/>
      </w:pPr>
      <w:r>
        <w:rPr>
          <w:rFonts w:ascii="Arial" w:cs="Arial" w:eastAsia="Arial" w:hAnsi="Arial"/>
          <w:b/>
          <w:bCs/>
          <w:color w:val="2E75B6"/>
          <w:sz w:val="22"/>
          <w:szCs w:val="22"/>
        </w:rPr>
        <w:t xml:space="preserve">The break-even accelerator checklist:</w:t>
      </w:r>
    </w:p>
    <w:p>
      <w:pPr>
        <w:spacing w:before="0" w:after="140"/>
        <w:jc w:val="left"/>
      </w:pPr>
      <w:r>
        <w:rPr>
          <w:rFonts w:ascii="Arial" w:cs="Arial" w:eastAsia="Arial" w:hAnsi="Arial"/>
          <w:b w:val="false"/>
          <w:bCs w:val="false"/>
          <w:i w:val="false"/>
          <w:iCs w:val="false"/>
          <w:color w:val="000000"/>
          <w:sz w:val="20"/>
          <w:szCs w:val="20"/>
        </w:rPr>
        <w:t xml:space="preserve">Based on the model, these four changes in combination would push the Base Case to break-even by Month 14–16:</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Reduce LLM cost from $12 to $7 through caching and model routing.</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Raise ARPU from $19 to $24 through annual plans and a pro tier.</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Reduce churn from 7% to 5% through better onboarding and email reactivation.</w:t>
      </w:r>
    </w:p>
    <w:p>
      <w:pPr>
        <w:pStyle w:val="ListParagraph"/>
        <w:numPr>
          <w:ilvl w:val="0"/>
          <w:numId w:val="2"/>
        </w:numPr>
        <w:spacing w:before="0" w:after="100"/>
      </w:pPr>
      <w:r>
        <w:rPr>
          <w:rFonts w:ascii="Arial" w:cs="Arial" w:eastAsia="Arial" w:hAnsi="Arial"/>
          <w:b w:val="false"/>
          <w:bCs w:val="false"/>
          <w:i w:val="false"/>
          <w:iCs w:val="false"/>
          <w:color w:val="000000"/>
          <w:sz w:val="20"/>
          <w:szCs w:val="20"/>
        </w:rPr>
        <w:t xml:space="preserve">Reduce CAC from $70 to $45 through a referral program and SEO content.</w:t>
      </w:r>
    </w:p>
    <w:p>
      <w:pPr>
        <w:spacing w:before="160" w:after="0"/>
      </w:pPr>
      <w:r>
        <w:rPr>
          <w:rFonts w:ascii="Arial" w:cs="Arial" w:eastAsia="Arial" w:hAnsi="Arial"/>
          <w:b w:val="false"/>
          <w:bCs w:val="false"/>
          <w:i w:val="false"/>
          <w:iCs w:val="false"/>
          <w:color w:val="000000"/>
          <w:sz w:val="20"/>
          <w:szCs w:val="20"/>
        </w:rPr>
        <w:t xml:space="preserve"/>
      </w:r>
    </w:p>
    <w:p>
      <w:pPr>
        <w:spacing w:before="0" w:after="140"/>
        <w:jc w:val="left"/>
      </w:pPr>
      <w:r>
        <w:rPr>
          <w:rFonts w:ascii="Arial" w:cs="Arial" w:eastAsia="Arial" w:hAnsi="Arial"/>
          <w:b w:val="false"/>
          <w:bCs w:val="false"/>
          <w:i w:val="false"/>
          <w:iCs w:val="false"/>
          <w:color w:val="000000"/>
          <w:sz w:val="20"/>
          <w:szCs w:val="20"/>
        </w:rPr>
        <w:t xml:space="preserve">None of these require a product overhaul. They are operational and pricing optimizations that a two-person team can execute within the first 6 months of launch.</w:t>
      </w:r>
    </w:p>
    <w:p>
      <w:pPr>
        <w:spacing w:before="240" w:after="0"/>
      </w:pPr>
      <w:r>
        <w:rPr>
          <w:rFonts w:ascii="Arial" w:cs="Arial" w:eastAsia="Arial" w:hAnsi="Arial"/>
          <w:b w:val="false"/>
          <w:bCs w:val="false"/>
          <w:i w:val="false"/>
          <w:iCs w:val="false"/>
          <w:color w:val="000000"/>
          <w:sz w:val="20"/>
          <w:szCs w:val="20"/>
        </w:rPr>
        <w:t xml:space="preserve"/>
      </w:r>
    </w:p>
    <w:p>
      <w:pPr>
        <w:pBdr>
          <w:top w:val="single" w:color="BDD7EE" w:sz="4" w:space="8"/>
        </w:pBdr>
        <w:spacing w:before="200" w:after="0"/>
        <w:jc w:val="center"/>
      </w:pPr>
      <w:r>
        <w:rPr>
          <w:rFonts w:ascii="Arial" w:cs="Arial" w:eastAsia="Arial" w:hAnsi="Arial"/>
          <w:b w:val="false"/>
          <w:bCs w:val="false"/>
          <w:i/>
          <w:iCs/>
          <w:color w:val="595959"/>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6"/>
      </w:pBdr>
      <w:spacing w:before="80" w:after="0"/>
      <w:jc w:val="right"/>
    </w:pPr>
    <w:r>
      <w:rPr>
        <w:rFonts w:ascii="Arial" w:cs="Arial" w:eastAsia="Arial" w:hAnsi="Arial"/>
        <w:b w:val="false"/>
        <w:bCs w:val="false"/>
        <w:i w:val="false"/>
        <w:iCs w:val="false"/>
        <w:color w:val="595959"/>
        <w:sz w:val="16"/>
        <w:szCs w:val="16"/>
      </w:rPr>
      <w:t xml:space="preserve">Confidential  |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6"/>
      </w:pBdr>
      <w:spacing w:before="0" w:after="100"/>
    </w:pPr>
    <w:r>
      <w:rPr>
        <w:rFonts w:ascii="Arial" w:cs="Arial" w:eastAsia="Arial" w:hAnsi="Arial"/>
        <w:b w:val="false"/>
        <w:bCs w:val="false"/>
        <w:i w:val="false"/>
        <w:iCs w:val="false"/>
        <w:color w:val="595959"/>
        <w:sz w:val="16"/>
        <w:szCs w:val="16"/>
      </w:rPr>
      <w:t xml:space="preserve">SaaS ROI Model  |  B2C AI Image Generation  |  Power BI Dashboard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2026-03-20T15:15:21.652Z</dcterms:created>
  <dcterms:modified xsi:type="dcterms:W3CDTF">2026-03-20T15:15:21.652Z</dcterms:modified>
</cp:coreProperties>
</file>

<file path=docProps/custom.xml><?xml version="1.0" encoding="utf-8"?>
<Properties xmlns="http://schemas.openxmlformats.org/officeDocument/2006/custom-properties" xmlns:vt="http://schemas.openxmlformats.org/officeDocument/2006/docPropsVTypes"/>
</file>