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87B" w:rsidRDefault="00FA187B" w:rsidP="00FA187B">
      <w:pPr>
        <w:pStyle w:val="Title"/>
        <w:rPr>
          <w:rFonts w:asciiTheme="minorHAnsi" w:hAnsiTheme="minorHAnsi" w:cstheme="minorHAnsi"/>
          <w:sz w:val="28"/>
          <w:szCs w:val="28"/>
        </w:rPr>
      </w:pPr>
      <w:r>
        <w:rPr>
          <w:rFonts w:asciiTheme="minorHAnsi" w:hAnsiTheme="minorHAnsi" w:cstheme="minorHAnsi"/>
          <w:sz w:val="28"/>
          <w:szCs w:val="28"/>
        </w:rPr>
        <w:t>Voltage THD</w:t>
      </w:r>
    </w:p>
    <w:p w:rsidR="00FA187B" w:rsidRPr="006C6CBD" w:rsidRDefault="00FA187B" w:rsidP="00FA187B">
      <w:pPr>
        <w:pStyle w:val="Footer"/>
        <w:rPr>
          <w:color w:val="BFBFBF" w:themeColor="background1" w:themeShade="BF"/>
          <w:sz w:val="16"/>
        </w:rPr>
      </w:pPr>
      <w:r w:rsidRPr="006C6CBD">
        <w:rPr>
          <w:color w:val="BFBFBF" w:themeColor="background1" w:themeShade="BF"/>
          <w:sz w:val="16"/>
        </w:rPr>
        <w:t>©Faraday Predictive 2018</w:t>
      </w:r>
    </w:p>
    <w:p w:rsidR="00FA187B" w:rsidRPr="00F820AC" w:rsidRDefault="00FA187B" w:rsidP="00FA187B"/>
    <w:p w:rsidR="00FA187B" w:rsidRDefault="00FA187B" w:rsidP="00FA187B">
      <w:pPr>
        <w:jc w:val="center"/>
        <w:rPr>
          <w:rFonts w:cs="Calibri"/>
          <w:szCs w:val="24"/>
        </w:rPr>
      </w:pPr>
      <w:r>
        <w:rPr>
          <w:rFonts w:cs="Calibri"/>
          <w:noProof/>
        </w:rPr>
        <w:drawing>
          <wp:inline distT="0" distB="0" distL="0" distR="0" wp14:anchorId="1539FADA" wp14:editId="6C59468C">
            <wp:extent cx="4191000" cy="1540155"/>
            <wp:effectExtent l="0" t="0" r="0" b="3175"/>
            <wp:docPr id="4" name="Picture 4" descr="C:\Users\myles\AppData\Local\Microsoft\Windows\INetCache\Content.Word\V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les\AppData\Local\Microsoft\Windows\INetCache\Content.Word\VTH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548" cy="1549544"/>
                    </a:xfrm>
                    <a:prstGeom prst="rect">
                      <a:avLst/>
                    </a:prstGeom>
                    <a:noFill/>
                    <a:ln>
                      <a:noFill/>
                    </a:ln>
                  </pic:spPr>
                </pic:pic>
              </a:graphicData>
            </a:graphic>
          </wp:inline>
        </w:drawing>
      </w:r>
    </w:p>
    <w:p w:rsidR="00FA187B" w:rsidRDefault="00FA187B" w:rsidP="00FA187B">
      <w:pPr>
        <w:rPr>
          <w:rFonts w:cs="Calibri"/>
          <w:szCs w:val="24"/>
        </w:rPr>
      </w:pPr>
    </w:p>
    <w:p w:rsidR="00FA187B" w:rsidRDefault="00FA187B" w:rsidP="00FA187B">
      <w:pPr>
        <w:rPr>
          <w:rFonts w:cs="Calibri"/>
          <w:szCs w:val="24"/>
        </w:rPr>
      </w:pPr>
      <w:r w:rsidRPr="00313AE9">
        <w:rPr>
          <w:rFonts w:cs="Calibri"/>
          <w:szCs w:val="24"/>
        </w:rPr>
        <w:t>Voltage Total Harmonic Distortion (THD) is the summation of all the harmonic components of the voltage waveform compared to the fundamental component of the voltage waveform.</w:t>
      </w:r>
      <w:r>
        <w:rPr>
          <w:rFonts w:cs="Calibri"/>
          <w:szCs w:val="24"/>
        </w:rPr>
        <w:t xml:space="preserve"> The sum theoretically continues forever, but in practice the harmonics are negligible from around the 13</w:t>
      </w:r>
      <w:r w:rsidRPr="00313AE9">
        <w:rPr>
          <w:rFonts w:cs="Calibri"/>
          <w:szCs w:val="24"/>
          <w:vertAlign w:val="superscript"/>
        </w:rPr>
        <w:t>th</w:t>
      </w:r>
      <w:r>
        <w:rPr>
          <w:rFonts w:cs="Calibri"/>
          <w:szCs w:val="24"/>
        </w:rPr>
        <w:t xml:space="preserve"> harmonic onwards. </w:t>
      </w:r>
    </w:p>
    <w:p w:rsidR="00FA187B" w:rsidRPr="00313AE9" w:rsidRDefault="00FA187B" w:rsidP="00FA187B">
      <w:pPr>
        <w:rPr>
          <w:rFonts w:cs="Calibri"/>
          <w:szCs w:val="24"/>
        </w:rPr>
      </w:pPr>
    </w:p>
    <w:p w:rsidR="00FA187B" w:rsidRPr="00471185" w:rsidRDefault="00FA187B" w:rsidP="00FA187B">
      <w:pPr>
        <w:pStyle w:val="Heading1"/>
        <w:rPr>
          <w:rFonts w:asciiTheme="minorHAnsi" w:hAnsiTheme="minorHAnsi" w:cs="Calibri"/>
          <w:color w:val="auto"/>
          <w:sz w:val="22"/>
          <w:szCs w:val="22"/>
        </w:rPr>
      </w:pPr>
      <m:oMathPara>
        <m:oMath>
          <m:r>
            <m:rPr>
              <m:sty m:val="p"/>
            </m:rPr>
            <w:rPr>
              <w:rFonts w:ascii="Cambria Math" w:hAnsi="Cambria Math" w:cs="Calibri"/>
              <w:color w:val="auto"/>
              <w:sz w:val="22"/>
              <w:szCs w:val="22"/>
            </w:rPr>
            <m:t>THD</m:t>
          </m:r>
          <m:r>
            <w:rPr>
              <w:rFonts w:ascii="Cambria Math" w:hAnsi="Cambria Math" w:cs="Calibri"/>
              <w:color w:val="auto"/>
              <w:sz w:val="22"/>
              <w:szCs w:val="22"/>
            </w:rPr>
            <m:t>=</m:t>
          </m:r>
          <m:f>
            <m:fPr>
              <m:ctrlPr>
                <w:rPr>
                  <w:rFonts w:ascii="Cambria Math" w:hAnsi="Cambria Math"/>
                  <w:i/>
                  <w:sz w:val="22"/>
                </w:rPr>
              </m:ctrlPr>
            </m:fPr>
            <m:num>
              <m:rad>
                <m:radPr>
                  <m:degHide m:val="1"/>
                  <m:ctrlPr>
                    <w:rPr>
                      <w:rFonts w:ascii="Cambria Math" w:hAnsi="Cambria Math"/>
                      <w:i/>
                      <w:sz w:val="22"/>
                    </w:rPr>
                  </m:ctrlPr>
                </m:radPr>
                <m:deg/>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cs="Calibri"/>
                              <w:color w:val="auto"/>
                              <w:sz w:val="22"/>
                              <w:szCs w:val="22"/>
                            </w:rPr>
                            <m:t>V</m:t>
                          </m:r>
                        </m:e>
                        <m:sub>
                          <m:r>
                            <w:rPr>
                              <w:rFonts w:ascii="Cambria Math" w:hAnsi="Cambria Math" w:cs="Calibri"/>
                              <w:color w:val="auto"/>
                              <w:sz w:val="22"/>
                              <w:szCs w:val="22"/>
                            </w:rPr>
                            <m:t>2</m:t>
                          </m:r>
                        </m:sub>
                      </m:sSub>
                    </m:e>
                    <m:sup>
                      <m:r>
                        <w:rPr>
                          <w:rFonts w:ascii="Cambria Math" w:hAnsi="Cambria Math" w:cs="Calibri"/>
                          <w:color w:val="auto"/>
                          <w:sz w:val="22"/>
                          <w:szCs w:val="22"/>
                        </w:rPr>
                        <m:t>2</m:t>
                      </m:r>
                    </m:sup>
                  </m:sSup>
                  <m:r>
                    <w:rPr>
                      <w:rFonts w:ascii="Cambria Math" w:hAnsi="Cambria Math" w:cs="Calibri"/>
                      <w:color w:val="auto"/>
                      <w:sz w:val="22"/>
                      <w:szCs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cs="Calibri"/>
                              <w:color w:val="auto"/>
                              <w:sz w:val="22"/>
                              <w:szCs w:val="22"/>
                            </w:rPr>
                            <m:t>V</m:t>
                          </m:r>
                        </m:e>
                        <m:sub>
                          <m:r>
                            <w:rPr>
                              <w:rFonts w:ascii="Cambria Math" w:hAnsi="Cambria Math" w:cs="Calibri"/>
                              <w:color w:val="auto"/>
                              <w:sz w:val="22"/>
                              <w:szCs w:val="22"/>
                            </w:rPr>
                            <m:t>3</m:t>
                          </m:r>
                        </m:sub>
                      </m:sSub>
                    </m:e>
                    <m:sup>
                      <m:r>
                        <w:rPr>
                          <w:rFonts w:ascii="Cambria Math" w:hAnsi="Cambria Math" w:cs="Calibri"/>
                          <w:color w:val="auto"/>
                          <w:sz w:val="22"/>
                          <w:szCs w:val="22"/>
                        </w:rPr>
                        <m:t>2</m:t>
                      </m:r>
                    </m:sup>
                  </m:sSup>
                  <m:r>
                    <w:rPr>
                      <w:rFonts w:ascii="Cambria Math" w:hAnsi="Cambria Math" w:cs="Calibri"/>
                      <w:color w:val="auto"/>
                      <w:sz w:val="22"/>
                      <w:szCs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cs="Calibri"/>
                              <w:color w:val="auto"/>
                              <w:sz w:val="22"/>
                              <w:szCs w:val="22"/>
                            </w:rPr>
                            <m:t>V</m:t>
                          </m:r>
                        </m:e>
                        <m:sub>
                          <m:r>
                            <w:rPr>
                              <w:rFonts w:ascii="Cambria Math" w:hAnsi="Cambria Math" w:cs="Calibri"/>
                              <w:color w:val="auto"/>
                              <w:sz w:val="22"/>
                              <w:szCs w:val="22"/>
                            </w:rPr>
                            <m:t>4</m:t>
                          </m:r>
                        </m:sub>
                      </m:sSub>
                    </m:e>
                    <m:sup>
                      <m:r>
                        <w:rPr>
                          <w:rFonts w:ascii="Cambria Math" w:hAnsi="Cambria Math" w:cs="Calibri"/>
                          <w:color w:val="auto"/>
                          <w:sz w:val="22"/>
                          <w:szCs w:val="22"/>
                        </w:rPr>
                        <m:t>2</m:t>
                      </m:r>
                    </m:sup>
                  </m:sSup>
                  <m:r>
                    <w:rPr>
                      <w:rFonts w:ascii="Cambria Math" w:hAnsi="Cambria Math" w:cs="Calibri"/>
                      <w:color w:val="auto"/>
                      <w:sz w:val="22"/>
                      <w:szCs w:val="22"/>
                    </w:rPr>
                    <m:t>+⋯</m:t>
                  </m:r>
                </m:e>
              </m:rad>
            </m:num>
            <m:den>
              <m:sSub>
                <m:sSubPr>
                  <m:ctrlPr>
                    <w:rPr>
                      <w:rFonts w:ascii="Cambria Math" w:hAnsi="Cambria Math"/>
                      <w:i/>
                      <w:sz w:val="22"/>
                    </w:rPr>
                  </m:ctrlPr>
                </m:sSubPr>
                <m:e>
                  <m:r>
                    <w:rPr>
                      <w:rFonts w:ascii="Cambria Math" w:hAnsi="Cambria Math" w:cs="Calibri"/>
                      <w:color w:val="auto"/>
                      <w:sz w:val="22"/>
                      <w:szCs w:val="22"/>
                    </w:rPr>
                    <m:t>V</m:t>
                  </m:r>
                </m:e>
                <m:sub>
                  <m:r>
                    <w:rPr>
                      <w:rFonts w:ascii="Cambria Math" w:hAnsi="Cambria Math" w:cs="Calibri"/>
                      <w:color w:val="auto"/>
                      <w:sz w:val="22"/>
                      <w:szCs w:val="22"/>
                    </w:rPr>
                    <m:t>1</m:t>
                  </m:r>
                </m:sub>
              </m:sSub>
            </m:den>
          </m:f>
          <m:r>
            <w:rPr>
              <w:rFonts w:ascii="Cambria Math" w:hAnsi="Cambria Math" w:cs="Calibri"/>
              <w:color w:val="auto"/>
              <w:sz w:val="22"/>
              <w:szCs w:val="22"/>
            </w:rPr>
            <m:t>*100%</m:t>
          </m:r>
        </m:oMath>
      </m:oMathPara>
    </w:p>
    <w:p w:rsidR="00FA187B" w:rsidRDefault="00FA187B" w:rsidP="00FA187B">
      <w:r>
        <w:t xml:space="preserve">THD is used to characterise the power quality of electronic power systems. A higher THD means more heating, higher peak currents, and higher core losses. </w:t>
      </w:r>
    </w:p>
    <w:p w:rsidR="00FA187B" w:rsidRDefault="00FA187B" w:rsidP="00FA187B">
      <w:pPr>
        <w:pStyle w:val="Heading1"/>
        <w:rPr>
          <w:rFonts w:asciiTheme="minorHAnsi" w:hAnsiTheme="minorHAnsi" w:cstheme="minorHAnsi"/>
          <w:szCs w:val="24"/>
        </w:rPr>
      </w:pPr>
      <w:r w:rsidRPr="003A24A1">
        <w:rPr>
          <w:rFonts w:asciiTheme="minorHAnsi" w:hAnsiTheme="minorHAnsi" w:cstheme="minorHAnsi"/>
          <w:szCs w:val="24"/>
        </w:rPr>
        <w:t>Cause</w:t>
      </w:r>
    </w:p>
    <w:p w:rsidR="00FA187B" w:rsidRPr="00AB3E8D" w:rsidRDefault="00FA187B" w:rsidP="00FA187B">
      <w:pPr>
        <w:rPr>
          <w:rFonts w:cs="Calibri"/>
          <w:szCs w:val="24"/>
        </w:rPr>
      </w:pPr>
      <w:r>
        <w:rPr>
          <w:rFonts w:cs="Calibri"/>
          <w:szCs w:val="24"/>
        </w:rPr>
        <w:t xml:space="preserve">Voltage THD is usually caused by an imperfect supply voltage. Non-linear loads in a plant (for example thyristors or inverters) will also increase the THD seen by the surrounding equipment. </w:t>
      </w:r>
    </w:p>
    <w:p w:rsidR="00FA187B" w:rsidRDefault="00FA187B" w:rsidP="00FA187B">
      <w:pPr>
        <w:pStyle w:val="Heading1"/>
        <w:rPr>
          <w:rFonts w:asciiTheme="minorHAnsi" w:hAnsiTheme="minorHAnsi" w:cstheme="minorHAnsi"/>
          <w:szCs w:val="24"/>
        </w:rPr>
      </w:pPr>
      <w:r w:rsidRPr="003A24A1">
        <w:rPr>
          <w:rFonts w:asciiTheme="minorHAnsi" w:hAnsiTheme="minorHAnsi" w:cstheme="minorHAnsi"/>
          <w:szCs w:val="24"/>
        </w:rPr>
        <w:t>Effect</w:t>
      </w:r>
    </w:p>
    <w:p w:rsidR="00FA187B" w:rsidRDefault="00FA187B" w:rsidP="00FA187B">
      <w:pPr>
        <w:rPr>
          <w:rFonts w:cs="Calibri"/>
          <w:szCs w:val="24"/>
        </w:rPr>
      </w:pPr>
      <w:r>
        <w:rPr>
          <w:rFonts w:cs="Calibri"/>
          <w:szCs w:val="24"/>
        </w:rPr>
        <w:t xml:space="preserve">Generally, even a small amount of voltage THD can cause a noticeable amount of current THD. </w:t>
      </w:r>
      <w:r w:rsidRPr="00313AE9">
        <w:rPr>
          <w:rFonts w:cs="Calibri"/>
          <w:szCs w:val="24"/>
        </w:rPr>
        <w:t>Increase in current</w:t>
      </w:r>
      <w:r>
        <w:rPr>
          <w:rFonts w:cs="Calibri"/>
          <w:szCs w:val="24"/>
        </w:rPr>
        <w:t xml:space="preserve"> distortions in the system </w:t>
      </w:r>
      <w:r w:rsidRPr="00313AE9">
        <w:rPr>
          <w:rFonts w:cs="Calibri"/>
          <w:szCs w:val="24"/>
        </w:rPr>
        <w:t xml:space="preserve">causes overheating, </w:t>
      </w:r>
      <w:r>
        <w:rPr>
          <w:rFonts w:cs="Calibri"/>
          <w:szCs w:val="24"/>
        </w:rPr>
        <w:t>which wastes energy and damages winding insulation, eventually causing the windings to burn out</w:t>
      </w:r>
      <w:r w:rsidRPr="00313AE9">
        <w:rPr>
          <w:rFonts w:cs="Calibri"/>
          <w:szCs w:val="24"/>
        </w:rPr>
        <w:t>. Higher frequency harmonics can cause excessive heating of the motor core.</w:t>
      </w:r>
      <w:r>
        <w:rPr>
          <w:rFonts w:cs="Calibri"/>
          <w:szCs w:val="24"/>
        </w:rPr>
        <w:t xml:space="preserve"> Further problems caused by harmonics are possible neutral overloading (caused by large 3</w:t>
      </w:r>
      <w:r w:rsidRPr="0028136E">
        <w:rPr>
          <w:rFonts w:cs="Calibri"/>
          <w:szCs w:val="24"/>
          <w:vertAlign w:val="superscript"/>
        </w:rPr>
        <w:t>rd</w:t>
      </w:r>
      <w:r>
        <w:rPr>
          <w:rFonts w:cs="Calibri"/>
          <w:szCs w:val="24"/>
        </w:rPr>
        <w:t xml:space="preserve"> harmonics) causing circuit breakers to trip unwantedly, and problems on sensitive equipment due to electromagnetic noise. </w:t>
      </w:r>
    </w:p>
    <w:p w:rsidR="00FA187B" w:rsidRDefault="00FA187B" w:rsidP="00FA187B">
      <w:pPr>
        <w:rPr>
          <w:rFonts w:cs="Calibri"/>
          <w:szCs w:val="24"/>
        </w:rPr>
      </w:pPr>
    </w:p>
    <w:p w:rsidR="00FA187B" w:rsidRPr="00313AE9" w:rsidRDefault="00FA187B" w:rsidP="00FA187B">
      <w:pPr>
        <w:rPr>
          <w:rFonts w:cs="Calibri"/>
          <w:szCs w:val="24"/>
        </w:rPr>
      </w:pPr>
    </w:p>
    <w:p w:rsidR="00FA187B" w:rsidRPr="00AB3E8D" w:rsidRDefault="00FA187B" w:rsidP="00FA187B">
      <w:pPr>
        <w:jc w:val="center"/>
      </w:pPr>
      <w:r>
        <w:rPr>
          <w:noProof/>
        </w:rPr>
        <w:drawing>
          <wp:inline distT="0" distB="0" distL="0" distR="0" wp14:anchorId="37F46265" wp14:editId="356F8825">
            <wp:extent cx="2612255" cy="2002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225" t="28776" r="32490" b="19814"/>
                    <a:stretch/>
                  </pic:blipFill>
                  <pic:spPr bwMode="auto">
                    <a:xfrm>
                      <a:off x="0" y="0"/>
                      <a:ext cx="2612425" cy="2003103"/>
                    </a:xfrm>
                    <a:prstGeom prst="rect">
                      <a:avLst/>
                    </a:prstGeom>
                    <a:ln>
                      <a:noFill/>
                    </a:ln>
                    <a:extLst>
                      <a:ext uri="{53640926-AAD7-44D8-BBD7-CCE9431645EC}">
                        <a14:shadowObscured xmlns:a14="http://schemas.microsoft.com/office/drawing/2010/main"/>
                      </a:ext>
                    </a:extLst>
                  </pic:spPr>
                </pic:pic>
              </a:graphicData>
            </a:graphic>
          </wp:inline>
        </w:drawing>
      </w:r>
    </w:p>
    <w:p w:rsidR="00FA187B" w:rsidRDefault="00FA187B" w:rsidP="00FA187B">
      <w:pPr>
        <w:rPr>
          <w:rFonts w:eastAsiaTheme="majorEastAsia" w:cstheme="minorHAnsi"/>
          <w:color w:val="2F5496" w:themeColor="accent1" w:themeShade="BF"/>
          <w:sz w:val="24"/>
          <w:szCs w:val="24"/>
        </w:rPr>
      </w:pPr>
      <w:r>
        <w:rPr>
          <w:rFonts w:cstheme="minorHAnsi"/>
          <w:szCs w:val="24"/>
        </w:rPr>
        <w:br w:type="page"/>
      </w:r>
    </w:p>
    <w:p w:rsidR="00FA187B" w:rsidRDefault="00FA187B" w:rsidP="00FA187B">
      <w:pPr>
        <w:pStyle w:val="Heading1"/>
        <w:rPr>
          <w:rFonts w:asciiTheme="minorHAnsi" w:hAnsiTheme="minorHAnsi" w:cstheme="minorHAnsi"/>
          <w:szCs w:val="24"/>
        </w:rPr>
      </w:pPr>
      <w:r w:rsidRPr="003A24A1">
        <w:rPr>
          <w:rFonts w:asciiTheme="minorHAnsi" w:hAnsiTheme="minorHAnsi" w:cstheme="minorHAnsi"/>
          <w:szCs w:val="24"/>
        </w:rPr>
        <w:lastRenderedPageBreak/>
        <w:t>Diagnosis</w:t>
      </w:r>
    </w:p>
    <w:p w:rsidR="00FA187B" w:rsidRDefault="00FA187B" w:rsidP="00FA187B">
      <w:pPr>
        <w:rPr>
          <w:rFonts w:cs="Calibri"/>
          <w:szCs w:val="24"/>
        </w:rPr>
      </w:pPr>
      <w:r w:rsidRPr="00313AE9">
        <w:rPr>
          <w:rFonts w:cs="Calibri"/>
          <w:szCs w:val="24"/>
        </w:rPr>
        <w:t>THD is calculated</w:t>
      </w:r>
      <w:r>
        <w:rPr>
          <w:rFonts w:cs="Calibri"/>
          <w:szCs w:val="24"/>
        </w:rPr>
        <w:t xml:space="preserve"> by the P100</w:t>
      </w:r>
      <w:r w:rsidRPr="00313AE9">
        <w:rPr>
          <w:rFonts w:cs="Calibri"/>
          <w:szCs w:val="24"/>
        </w:rPr>
        <w:t xml:space="preserve"> using the formula </w:t>
      </w:r>
      <w:r>
        <w:rPr>
          <w:rFonts w:cs="Calibri"/>
          <w:szCs w:val="24"/>
        </w:rPr>
        <w:t xml:space="preserve">at the top of the </w:t>
      </w:r>
      <w:proofErr w:type="gramStart"/>
      <w:r>
        <w:rPr>
          <w:rFonts w:cs="Calibri"/>
          <w:szCs w:val="24"/>
        </w:rPr>
        <w:t>page, and</w:t>
      </w:r>
      <w:proofErr w:type="gramEnd"/>
      <w:r>
        <w:rPr>
          <w:rFonts w:cs="Calibri"/>
          <w:szCs w:val="24"/>
        </w:rPr>
        <w:t xml:space="preserve"> is displayed as one of the electrical parameters</w:t>
      </w:r>
      <w:r w:rsidRPr="00313AE9">
        <w:rPr>
          <w:rFonts w:cs="Calibri"/>
          <w:szCs w:val="24"/>
        </w:rPr>
        <w:t>.</w:t>
      </w:r>
      <w:r>
        <w:rPr>
          <w:rFonts w:cs="Calibri"/>
          <w:szCs w:val="24"/>
        </w:rPr>
        <w:t xml:space="preserve"> High harmonic peaks in the voltage spectrum also indicate a high THD, though there is some need for careful interpretation since the spectrum shown is a log plot, so peaks that look quite large in the frequency spectrum may well be within safe limits. Some harmonics (especially odd harmonics) are an inevitable part of any power system involving rotating machinery. </w:t>
      </w:r>
    </w:p>
    <w:p w:rsidR="00FA187B" w:rsidRDefault="00FA187B" w:rsidP="00FA187B">
      <w:pPr>
        <w:jc w:val="center"/>
        <w:rPr>
          <w:rFonts w:cs="Calibri"/>
        </w:rPr>
      </w:pPr>
      <w:r>
        <w:rPr>
          <w:noProof/>
        </w:rPr>
        <w:drawing>
          <wp:inline distT="0" distB="0" distL="0" distR="0" wp14:anchorId="12C6C9E9" wp14:editId="6F3CBAA5">
            <wp:extent cx="4995183" cy="2193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779" t="31151" r="17824" b="12545"/>
                    <a:stretch/>
                  </pic:blipFill>
                  <pic:spPr bwMode="auto">
                    <a:xfrm>
                      <a:off x="0" y="0"/>
                      <a:ext cx="4996332" cy="2193768"/>
                    </a:xfrm>
                    <a:prstGeom prst="rect">
                      <a:avLst/>
                    </a:prstGeom>
                    <a:ln>
                      <a:noFill/>
                    </a:ln>
                    <a:extLst>
                      <a:ext uri="{53640926-AAD7-44D8-BBD7-CCE9431645EC}">
                        <a14:shadowObscured xmlns:a14="http://schemas.microsoft.com/office/drawing/2010/main"/>
                      </a:ext>
                    </a:extLst>
                  </pic:spPr>
                </pic:pic>
              </a:graphicData>
            </a:graphic>
          </wp:inline>
        </w:drawing>
      </w:r>
    </w:p>
    <w:p w:rsidR="00FA187B" w:rsidRPr="00AB3E8D" w:rsidRDefault="00FA187B" w:rsidP="00FA187B">
      <w:pPr>
        <w:rPr>
          <w:rFonts w:cs="Calibri"/>
        </w:rPr>
      </w:pPr>
      <w:r w:rsidRPr="008C2B87">
        <w:rPr>
          <w:rFonts w:cs="Calibri"/>
        </w:rPr>
        <w:t>There are IEEE standards for THD, with 5% set as a limit for low voltages (below 69kV), and 2.5% or less THD for higher voltages [1]. Consult the most recent IEEE standards</w:t>
      </w:r>
      <w:r>
        <w:rPr>
          <w:rFonts w:cs="Calibri"/>
        </w:rPr>
        <w:t xml:space="preserve"> for more information on this. </w:t>
      </w:r>
    </w:p>
    <w:p w:rsidR="00FA187B" w:rsidRDefault="00FA187B" w:rsidP="00FA187B">
      <w:pPr>
        <w:pStyle w:val="Heading1"/>
        <w:rPr>
          <w:rFonts w:asciiTheme="minorHAnsi" w:hAnsiTheme="minorHAnsi" w:cstheme="minorHAnsi"/>
          <w:szCs w:val="24"/>
        </w:rPr>
      </w:pPr>
      <w:r>
        <w:rPr>
          <w:rFonts w:asciiTheme="minorHAnsi" w:hAnsiTheme="minorHAnsi" w:cstheme="minorHAnsi"/>
          <w:szCs w:val="24"/>
        </w:rPr>
        <w:t>Action</w:t>
      </w:r>
    </w:p>
    <w:p w:rsidR="00FA187B" w:rsidRPr="00313AE9" w:rsidRDefault="00FA187B" w:rsidP="00FA187B">
      <w:pPr>
        <w:rPr>
          <w:rFonts w:cs="Calibri"/>
          <w:szCs w:val="24"/>
        </w:rPr>
      </w:pPr>
      <w:r w:rsidRPr="00313AE9">
        <w:rPr>
          <w:rFonts w:cs="Calibri"/>
          <w:szCs w:val="24"/>
        </w:rPr>
        <w:t xml:space="preserve">Preventative measures are far cheaper and more effective than waiting for damage to occur to the windings and rewinding the motor. </w:t>
      </w:r>
    </w:p>
    <w:p w:rsidR="00FA187B" w:rsidRDefault="00FA187B" w:rsidP="00FA187B">
      <w:pPr>
        <w:rPr>
          <w:rFonts w:cs="Calibri"/>
          <w:szCs w:val="24"/>
        </w:rPr>
      </w:pPr>
      <w:r w:rsidRPr="00313AE9">
        <w:rPr>
          <w:rFonts w:cs="Calibri"/>
          <w:szCs w:val="24"/>
        </w:rPr>
        <w:t>Active filters can be used to reduce total harmonic distortion, as will selecting a suitable inverter to power the equipment.</w:t>
      </w:r>
    </w:p>
    <w:p w:rsidR="005E2C04" w:rsidRPr="00FA187B" w:rsidRDefault="00FA187B" w:rsidP="00FA187B">
      <w:r>
        <w:rPr>
          <w:rFonts w:cs="Calibri"/>
          <w:szCs w:val="24"/>
        </w:rPr>
        <w:t>[</w:t>
      </w:r>
      <w:r w:rsidRPr="00297F55">
        <w:rPr>
          <w:rFonts w:cs="Calibri"/>
          <w:szCs w:val="24"/>
        </w:rPr>
        <w:t>1]</w:t>
      </w:r>
      <w:r>
        <w:rPr>
          <w:rFonts w:cs="Calibri"/>
          <w:szCs w:val="24"/>
        </w:rPr>
        <w:t xml:space="preserve"> IEEE </w:t>
      </w:r>
      <w:proofErr w:type="spellStart"/>
      <w:r>
        <w:rPr>
          <w:rFonts w:cs="Calibri"/>
          <w:szCs w:val="24"/>
        </w:rPr>
        <w:t>Std</w:t>
      </w:r>
      <w:proofErr w:type="spellEnd"/>
      <w:r>
        <w:rPr>
          <w:rFonts w:cs="Calibri"/>
          <w:szCs w:val="24"/>
        </w:rPr>
        <w:t xml:space="preserve"> 519-1992 Harmonic Limits Discussion</w:t>
      </w:r>
      <w:bookmarkStart w:id="0" w:name="_GoBack"/>
      <w:bookmarkEnd w:id="0"/>
    </w:p>
    <w:sectPr w:rsidR="005E2C04" w:rsidRPr="00FA187B"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56ABA"/>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C3626"/>
    <w:rsid w:val="002C7DB7"/>
    <w:rsid w:val="002D356E"/>
    <w:rsid w:val="002E3C6D"/>
    <w:rsid w:val="0030005D"/>
    <w:rsid w:val="00324452"/>
    <w:rsid w:val="00360CEC"/>
    <w:rsid w:val="003A24A1"/>
    <w:rsid w:val="003B15D8"/>
    <w:rsid w:val="003B3067"/>
    <w:rsid w:val="003D0A58"/>
    <w:rsid w:val="003D7462"/>
    <w:rsid w:val="0044742E"/>
    <w:rsid w:val="0046255C"/>
    <w:rsid w:val="004B05FB"/>
    <w:rsid w:val="004D7A54"/>
    <w:rsid w:val="00520882"/>
    <w:rsid w:val="0052099D"/>
    <w:rsid w:val="005872FA"/>
    <w:rsid w:val="005B36D8"/>
    <w:rsid w:val="005E0F19"/>
    <w:rsid w:val="005E2C04"/>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3FEB"/>
    <w:rsid w:val="00807580"/>
    <w:rsid w:val="00825268"/>
    <w:rsid w:val="008319D5"/>
    <w:rsid w:val="0084337D"/>
    <w:rsid w:val="00855622"/>
    <w:rsid w:val="00864621"/>
    <w:rsid w:val="008C0396"/>
    <w:rsid w:val="008C0A05"/>
    <w:rsid w:val="008D3551"/>
    <w:rsid w:val="008D4738"/>
    <w:rsid w:val="008D4C84"/>
    <w:rsid w:val="00905D98"/>
    <w:rsid w:val="0094583F"/>
    <w:rsid w:val="00955BC5"/>
    <w:rsid w:val="00960C5E"/>
    <w:rsid w:val="0099760C"/>
    <w:rsid w:val="009B71A8"/>
    <w:rsid w:val="009E49E4"/>
    <w:rsid w:val="00A26435"/>
    <w:rsid w:val="00A32186"/>
    <w:rsid w:val="00A5665B"/>
    <w:rsid w:val="00A5776E"/>
    <w:rsid w:val="00A7299F"/>
    <w:rsid w:val="00AB3E8D"/>
    <w:rsid w:val="00AD3680"/>
    <w:rsid w:val="00B34DEF"/>
    <w:rsid w:val="00B3732A"/>
    <w:rsid w:val="00B645B5"/>
    <w:rsid w:val="00B94CE2"/>
    <w:rsid w:val="00C12D59"/>
    <w:rsid w:val="00C22EE7"/>
    <w:rsid w:val="00C430A2"/>
    <w:rsid w:val="00C66614"/>
    <w:rsid w:val="00C91251"/>
    <w:rsid w:val="00CA0C07"/>
    <w:rsid w:val="00CA66C4"/>
    <w:rsid w:val="00CB05F5"/>
    <w:rsid w:val="00CB706F"/>
    <w:rsid w:val="00CE294A"/>
    <w:rsid w:val="00CF27EC"/>
    <w:rsid w:val="00CF32E5"/>
    <w:rsid w:val="00D0379B"/>
    <w:rsid w:val="00D04553"/>
    <w:rsid w:val="00D33C70"/>
    <w:rsid w:val="00D726E0"/>
    <w:rsid w:val="00D81EDB"/>
    <w:rsid w:val="00DD4F9F"/>
    <w:rsid w:val="00DF49F4"/>
    <w:rsid w:val="00E32B5E"/>
    <w:rsid w:val="00E765A7"/>
    <w:rsid w:val="00E87AB5"/>
    <w:rsid w:val="00EA4A36"/>
    <w:rsid w:val="00ED51BA"/>
    <w:rsid w:val="00EE16A0"/>
    <w:rsid w:val="00F15D70"/>
    <w:rsid w:val="00F25A35"/>
    <w:rsid w:val="00F3691F"/>
    <w:rsid w:val="00F77377"/>
    <w:rsid w:val="00F815A1"/>
    <w:rsid w:val="00FA187B"/>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paragraph" w:styleId="Footer">
    <w:name w:val="footer"/>
    <w:basedOn w:val="Normal"/>
    <w:link w:val="FooterChar"/>
    <w:uiPriority w:val="99"/>
    <w:unhideWhenUsed/>
    <w:rsid w:val="00FA18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87B"/>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6</cp:revision>
  <cp:lastPrinted>2017-10-19T17:32:00Z</cp:lastPrinted>
  <dcterms:created xsi:type="dcterms:W3CDTF">2017-10-26T11:52:00Z</dcterms:created>
  <dcterms:modified xsi:type="dcterms:W3CDTF">2018-02-15T16:45:00Z</dcterms:modified>
</cp:coreProperties>
</file>