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82ADD" w14:textId="4872A70A" w:rsidR="00520882" w:rsidRDefault="000508AC" w:rsidP="001B3795">
      <w:pPr>
        <w:pStyle w:val="Title"/>
      </w:pPr>
      <w:r>
        <w:t xml:space="preserve">Device </w:t>
      </w:r>
      <w:r w:rsidR="00AF63AB">
        <w:t>o</w:t>
      </w:r>
      <w:r w:rsidR="00166F16">
        <w:t>peration</w:t>
      </w:r>
      <w:r w:rsidR="008C5DDC">
        <w:t xml:space="preserve"> </w:t>
      </w:r>
      <w:r w:rsidR="00AF63AB">
        <w:t>o</w:t>
      </w:r>
      <w:r w:rsidR="008C5DDC">
        <w:t>verview</w:t>
      </w:r>
    </w:p>
    <w:p w14:paraId="73213E8B" w14:textId="77777777" w:rsidR="002910E7" w:rsidRDefault="002910E7" w:rsidP="002910E7">
      <w:pPr>
        <w:pStyle w:val="Heading1"/>
      </w:pPr>
      <w:r>
        <w:t>Application</w:t>
      </w:r>
      <w:bookmarkStart w:id="0" w:name="_GoBack"/>
      <w:bookmarkEnd w:id="0"/>
    </w:p>
    <w:p w14:paraId="02E0694B" w14:textId="53AE5872" w:rsidR="005232B6" w:rsidRDefault="005232B6" w:rsidP="002910E7">
      <w:pPr>
        <w:jc w:val="both"/>
      </w:pPr>
      <w:r>
        <w:t xml:space="preserve">The 200 Series device is either a P100 portable system or an S200 installed system.  </w:t>
      </w:r>
    </w:p>
    <w:p w14:paraId="5D6947AA" w14:textId="78365D7F" w:rsidR="002910E7" w:rsidRDefault="002910E7" w:rsidP="002910E7">
      <w:pPr>
        <w:jc w:val="both"/>
      </w:pPr>
      <w:r>
        <w:t>The P100</w:t>
      </w:r>
      <w:r w:rsidR="00354DB6">
        <w:t xml:space="preserve"> </w:t>
      </w:r>
      <w:r w:rsidR="005232B6">
        <w:t>system</w:t>
      </w:r>
      <w:r>
        <w:t xml:space="preserve"> is controlled from the </w:t>
      </w:r>
      <w:r w:rsidR="005232B6">
        <w:t>s</w:t>
      </w:r>
      <w:r w:rsidR="007E7131">
        <w:t>oftware</w:t>
      </w:r>
      <w:r>
        <w:t xml:space="preserve"> application running on the supplied laptop PC.  The laptop PC is connected to the P100 data unit by means of the supplied USB cable, although the application can be used with stored data without a connection to a data unit.  </w:t>
      </w:r>
    </w:p>
    <w:p w14:paraId="58ADD2C3" w14:textId="7A6C9C87" w:rsidR="00316F16" w:rsidRDefault="009A0C0C" w:rsidP="002910E7">
      <w:pPr>
        <w:jc w:val="both"/>
      </w:pPr>
      <w:r>
        <w:rPr>
          <w:noProof/>
        </w:rPr>
        <w:drawing>
          <wp:inline distT="0" distB="0" distL="0" distR="0" wp14:anchorId="18064648" wp14:editId="0103A709">
            <wp:extent cx="5728873" cy="2422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8946" cy="2431310"/>
                    </a:xfrm>
                    <a:prstGeom prst="rect">
                      <a:avLst/>
                    </a:prstGeom>
                    <a:noFill/>
                  </pic:spPr>
                </pic:pic>
              </a:graphicData>
            </a:graphic>
          </wp:inline>
        </w:drawing>
      </w:r>
    </w:p>
    <w:p w14:paraId="7ECE6727" w14:textId="0E3E2E99" w:rsidR="005232B6" w:rsidRDefault="005232B6" w:rsidP="002910E7">
      <w:pPr>
        <w:jc w:val="both"/>
      </w:pPr>
      <w:r>
        <w:t>The S200 system is controlled from the software application running on the S200 itself.  Since the S200 has no display or keyboard local control requires connection of a monitor (to HDMI or USB) and a keyboard/mouse (to USB).  Alternatively, remote desktop software can be used on a PC connected to the S200 through a network connection.</w:t>
      </w:r>
    </w:p>
    <w:p w14:paraId="028E618D" w14:textId="4BC04153" w:rsidR="00316F16" w:rsidRDefault="009A0C0C" w:rsidP="002910E7">
      <w:pPr>
        <w:jc w:val="both"/>
      </w:pPr>
      <w:r>
        <w:rPr>
          <w:noProof/>
        </w:rPr>
        <w:drawing>
          <wp:inline distT="0" distB="0" distL="0" distR="0" wp14:anchorId="5D327C0B" wp14:editId="72DD5B6D">
            <wp:extent cx="5717789" cy="2859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754" cy="2865535"/>
                    </a:xfrm>
                    <a:prstGeom prst="rect">
                      <a:avLst/>
                    </a:prstGeom>
                    <a:noFill/>
                  </pic:spPr>
                </pic:pic>
              </a:graphicData>
            </a:graphic>
          </wp:inline>
        </w:drawing>
      </w:r>
    </w:p>
    <w:p w14:paraId="2AEF37A0" w14:textId="375938C4" w:rsidR="002910E7" w:rsidRDefault="002910E7" w:rsidP="002910E7">
      <w:pPr>
        <w:jc w:val="both"/>
      </w:pPr>
      <w:r>
        <w:t>All setup information and measured data is stored in a local database, organised into projects.</w:t>
      </w:r>
      <w:r w:rsidR="00316F16">
        <w:t xml:space="preserve">  All setup information and measured data can also be synchronised to an external server.</w:t>
      </w:r>
    </w:p>
    <w:p w14:paraId="462FAF7C" w14:textId="74E376E4" w:rsidR="00B25B02" w:rsidRDefault="002910E7" w:rsidP="00316F16">
      <w:pPr>
        <w:jc w:val="both"/>
      </w:pPr>
      <w:r>
        <w:lastRenderedPageBreak/>
        <w:t>Any set of results can be used to create a detailed report in .docx format.  This allows the user to annotate and modify the report later if required</w:t>
      </w:r>
      <w:r w:rsidR="00316F16">
        <w:t>.</w:t>
      </w:r>
    </w:p>
    <w:p w14:paraId="2E6C0050" w14:textId="20812812" w:rsidR="00B25B02" w:rsidRDefault="00316F16" w:rsidP="002910E7">
      <w:pPr>
        <w:pStyle w:val="Heading1"/>
      </w:pPr>
      <w:r>
        <w:t>Device processing</w:t>
      </w:r>
    </w:p>
    <w:p w14:paraId="0054D5DB" w14:textId="202099C8" w:rsidR="002910E7" w:rsidRDefault="002910E7" w:rsidP="002910E7">
      <w:r>
        <w:t xml:space="preserve">The </w:t>
      </w:r>
      <w:r w:rsidR="00316F16">
        <w:t>200 Series device</w:t>
      </w:r>
      <w:r w:rsidR="005840C6">
        <w:t xml:space="preserve"> (portable or installed)</w:t>
      </w:r>
      <w:r w:rsidR="00316F16">
        <w:t xml:space="preserve"> captures data</w:t>
      </w:r>
      <w:r>
        <w:t>, analyses it</w:t>
      </w:r>
      <w:r w:rsidR="005840C6">
        <w:t>,</w:t>
      </w:r>
      <w:r>
        <w:t xml:space="preserve"> and provides equipment health assessment</w:t>
      </w:r>
      <w:r w:rsidR="00316F16">
        <w:t>s</w:t>
      </w:r>
      <w:r w:rsidR="005840C6">
        <w:t xml:space="preserve"> that can be stored locally and then synchronised to a remote server:</w:t>
      </w:r>
    </w:p>
    <w:p w14:paraId="519CEF66" w14:textId="77777777" w:rsidR="002910E7" w:rsidRPr="002910E7" w:rsidRDefault="002910E7" w:rsidP="002910E7"/>
    <w:p w14:paraId="0C9908C8" w14:textId="77777777" w:rsidR="00D01CFC" w:rsidRPr="00D01CFC" w:rsidRDefault="003E7D56" w:rsidP="00D01CFC">
      <w:r w:rsidRPr="00D038EF">
        <w:rPr>
          <w:noProof/>
        </w:rPr>
        <w:drawing>
          <wp:inline distT="0" distB="0" distL="0" distR="0" wp14:anchorId="1658D2EF" wp14:editId="27CE45F7">
            <wp:extent cx="5791200" cy="3052445"/>
            <wp:effectExtent l="0" t="0" r="0" b="0"/>
            <wp:docPr id="2" name="Diagram 2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B4201D3" w14:textId="77777777" w:rsidR="0013476A" w:rsidRDefault="0013476A" w:rsidP="00AC5691">
      <w:pPr>
        <w:pStyle w:val="Heading1"/>
      </w:pPr>
    </w:p>
    <w:p w14:paraId="65F291A8" w14:textId="6F24A104" w:rsidR="00AC5691" w:rsidRDefault="0013476A" w:rsidP="00AC5691">
      <w:pPr>
        <w:pStyle w:val="Heading1"/>
      </w:pPr>
      <w:r>
        <w:t>200</w:t>
      </w:r>
      <w:r w:rsidR="00AC5691">
        <w:t xml:space="preserve"> Series</w:t>
      </w:r>
      <w:r>
        <w:t xml:space="preserve"> device software</w:t>
      </w:r>
    </w:p>
    <w:p w14:paraId="25CAD24B" w14:textId="5D04D54A" w:rsidR="00E312BD" w:rsidRPr="00E312BD" w:rsidRDefault="00E312BD" w:rsidP="00E312BD">
      <w:r>
        <w:t xml:space="preserve">The </w:t>
      </w:r>
      <w:r w:rsidR="0013476A">
        <w:t>200</w:t>
      </w:r>
      <w:r>
        <w:t xml:space="preserve"> Series</w:t>
      </w:r>
      <w:r w:rsidR="0013476A">
        <w:t xml:space="preserve"> device software</w:t>
      </w:r>
      <w:r>
        <w:t xml:space="preserve"> </w:t>
      </w:r>
      <w:r w:rsidR="0013476A">
        <w:t>can be used in a number of different ways to give a complete picture of equipment health:</w:t>
      </w:r>
      <w:r>
        <w:t xml:space="preserve">  </w:t>
      </w:r>
    </w:p>
    <w:p w14:paraId="70F24F2D" w14:textId="77777777" w:rsidR="00AC5691" w:rsidRDefault="00AC5691" w:rsidP="00AC5691">
      <w:pPr>
        <w:pStyle w:val="Heading2"/>
      </w:pPr>
      <w:r>
        <w:t>Health Assessment</w:t>
      </w:r>
    </w:p>
    <w:p w14:paraId="1AD45993" w14:textId="159EE337" w:rsidR="00AC5691" w:rsidRPr="00AC5691" w:rsidRDefault="00AC5691" w:rsidP="00AC5691">
      <w:r>
        <w:t xml:space="preserve">Using Scope Mode, the </w:t>
      </w:r>
      <w:r w:rsidR="0013476A">
        <w:t>200</w:t>
      </w:r>
      <w:r>
        <w:t xml:space="preserve"> series</w:t>
      </w:r>
      <w:r w:rsidR="0013476A">
        <w:t xml:space="preserve"> device software</w:t>
      </w:r>
      <w:r>
        <w:t xml:space="preserve"> allows you to carry out an assessment of your equipment’s health in less than 10 seconds. </w:t>
      </w:r>
    </w:p>
    <w:p w14:paraId="5F7D295A" w14:textId="77777777" w:rsidR="00AC5691" w:rsidRDefault="00AC5691" w:rsidP="00AC5691">
      <w:pPr>
        <w:pStyle w:val="Heading2"/>
      </w:pPr>
      <w:r>
        <w:t>Health Monitoring</w:t>
      </w:r>
    </w:p>
    <w:p w14:paraId="5FA85070" w14:textId="5D10D1BC" w:rsidR="00AC5691" w:rsidRPr="00AC5691" w:rsidRDefault="00AC5691" w:rsidP="00AC5691">
      <w:r>
        <w:t xml:space="preserve">Using Baseline Mode, the </w:t>
      </w:r>
      <w:r w:rsidR="0013476A">
        <w:t>200 Series device software</w:t>
      </w:r>
      <w:r>
        <w:t xml:space="preserve"> allows </w:t>
      </w:r>
      <w:r w:rsidR="0013476A">
        <w:t>the system</w:t>
      </w:r>
      <w:r>
        <w:t xml:space="preserve"> to learn the incipient faults </w:t>
      </w:r>
      <w:r w:rsidR="0013476A">
        <w:t>of</w:t>
      </w:r>
      <w:r>
        <w:t xml:space="preserve"> </w:t>
      </w:r>
      <w:r w:rsidR="00E312BD">
        <w:t>your</w:t>
      </w:r>
      <w:r>
        <w:t xml:space="preserve"> equipment, and </w:t>
      </w:r>
      <w:r w:rsidR="0013476A">
        <w:t>then to monitor</w:t>
      </w:r>
      <w:r>
        <w:t xml:space="preserve"> them </w:t>
      </w:r>
      <w:r w:rsidR="00E312BD">
        <w:t xml:space="preserve">over time </w:t>
      </w:r>
      <w:r>
        <w:t xml:space="preserve">using Monitor Mode. </w:t>
      </w:r>
    </w:p>
    <w:p w14:paraId="5722C45C" w14:textId="77777777" w:rsidR="00AC5691" w:rsidRDefault="00AC5691" w:rsidP="00AC5691">
      <w:pPr>
        <w:pStyle w:val="Heading2"/>
      </w:pPr>
      <w:r>
        <w:t>MCSA</w:t>
      </w:r>
    </w:p>
    <w:p w14:paraId="6BD3D7EF" w14:textId="77777777" w:rsidR="00AC5691" w:rsidRPr="00AC5691" w:rsidRDefault="00E312BD" w:rsidP="00AC5691">
      <w:r>
        <w:t xml:space="preserve">Motor Current Signature Analysis is a widely use tool for assessing the condition of rotor bars.  </w:t>
      </w:r>
    </w:p>
    <w:p w14:paraId="390FD5D9" w14:textId="77777777" w:rsidR="00AC5691" w:rsidRDefault="00AC5691" w:rsidP="00AC5691">
      <w:pPr>
        <w:pStyle w:val="Heading2"/>
      </w:pPr>
      <w:r>
        <w:t xml:space="preserve">Auto Slip </w:t>
      </w:r>
    </w:p>
    <w:p w14:paraId="2F8BC092" w14:textId="26B0EFA1" w:rsidR="00AC5691" w:rsidRDefault="009203DF" w:rsidP="00AC5691">
      <w:r>
        <w:t>Auto Slip estimates the slip (</w:t>
      </w:r>
      <w:r w:rsidR="005840C6">
        <w:t>for</w:t>
      </w:r>
      <w:r>
        <w:t xml:space="preserve"> induction </w:t>
      </w:r>
      <w:r w:rsidR="005840C6">
        <w:t>m</w:t>
      </w:r>
      <w:r>
        <w:t>otors</w:t>
      </w:r>
      <w:r w:rsidR="005840C6">
        <w:t xml:space="preserve"> only</w:t>
      </w:r>
      <w:r>
        <w:t xml:space="preserve">) and </w:t>
      </w:r>
      <w:r w:rsidR="005840C6">
        <w:t>allows</w:t>
      </w:r>
      <w:r w:rsidR="00AC5691">
        <w:t xml:space="preserve"> a</w:t>
      </w:r>
      <w:r>
        <w:t>n accurate assessment of incipient faults</w:t>
      </w:r>
      <w:r w:rsidR="0013476A">
        <w:t xml:space="preserve"> with minimal user intervention</w:t>
      </w:r>
      <w:r>
        <w:t xml:space="preserve">. </w:t>
      </w:r>
    </w:p>
    <w:p w14:paraId="1F67799B" w14:textId="77777777" w:rsidR="00AC5691" w:rsidRPr="00AC5691" w:rsidRDefault="00AC5691" w:rsidP="00AC5691">
      <w:pPr>
        <w:pStyle w:val="Heading1"/>
      </w:pPr>
      <w:r>
        <w:lastRenderedPageBreak/>
        <w:t xml:space="preserve">P100 </w:t>
      </w:r>
      <w:r w:rsidR="00927156">
        <w:t>S</w:t>
      </w:r>
      <w:r>
        <w:t>eries Additional Tools</w:t>
      </w:r>
    </w:p>
    <w:p w14:paraId="5FB0FD9B" w14:textId="77777777" w:rsidR="00AC5691" w:rsidRDefault="00B276A7" w:rsidP="00AC5691">
      <w:pPr>
        <w:pStyle w:val="Heading2"/>
      </w:pPr>
      <w:r>
        <w:t>Bearing database</w:t>
      </w:r>
      <w:r w:rsidR="005938CF">
        <w:t xml:space="preserve"> </w:t>
      </w:r>
    </w:p>
    <w:p w14:paraId="23FE1C65" w14:textId="44286E81" w:rsidR="00B276A7" w:rsidRDefault="00AC5691" w:rsidP="00B276A7">
      <w:r>
        <w:t>W</w:t>
      </w:r>
      <w:r w:rsidR="005938CF">
        <w:t>hen setting up specific equipment information, the user has access to the bearing database for configuring all rolling element bearings.</w:t>
      </w:r>
      <w:r>
        <w:t xml:space="preserve"> Most widely</w:t>
      </w:r>
      <w:r w:rsidR="0013476A">
        <w:t>-</w:t>
      </w:r>
      <w:r>
        <w:t>used b</w:t>
      </w:r>
      <w:r w:rsidR="0013476A">
        <w:t>e</w:t>
      </w:r>
      <w:r>
        <w:t xml:space="preserve">aring models are available, also allowing the user to customize the bearing based upon the number of rolling elements or directly selecting the bearing </w:t>
      </w:r>
      <w:r w:rsidR="0013476A">
        <w:t>frequencies</w:t>
      </w:r>
      <w:r>
        <w:t xml:space="preserve">. </w:t>
      </w:r>
    </w:p>
    <w:p w14:paraId="6694168C" w14:textId="77777777" w:rsidR="00AC5691" w:rsidRDefault="00B276A7" w:rsidP="00AC5691">
      <w:pPr>
        <w:pStyle w:val="Heading2"/>
      </w:pPr>
      <w:r>
        <w:t>Diagnostic info</w:t>
      </w:r>
    </w:p>
    <w:p w14:paraId="5A31DA1D" w14:textId="77777777" w:rsidR="00A7299F" w:rsidRDefault="00AC5691" w:rsidP="009E49E4">
      <w:r>
        <w:t>T</w:t>
      </w:r>
      <w:r w:rsidR="005938CF">
        <w:t>he user can access a large number of diagnostic information sheets to assist with analysis.  Each sheet focuses on a specific fault type</w:t>
      </w:r>
      <w:r w:rsidR="00A66786">
        <w:t xml:space="preserve"> and provides information about the fault and recommended actions.</w:t>
      </w:r>
    </w:p>
    <w:p w14:paraId="458981E5" w14:textId="77777777" w:rsidR="003531EB" w:rsidRDefault="00AD39F1" w:rsidP="003531EB">
      <w:pPr>
        <w:pStyle w:val="Heading2"/>
      </w:pPr>
      <w:r>
        <w:t>Connection data</w:t>
      </w:r>
    </w:p>
    <w:p w14:paraId="47491598" w14:textId="35C5F1F2" w:rsidR="00AD39F1" w:rsidRDefault="003531EB" w:rsidP="00AD39F1">
      <w:r>
        <w:t>C</w:t>
      </w:r>
      <w:r w:rsidR="00AD39F1">
        <w:t>ontains the parameters required for connection to the local database</w:t>
      </w:r>
      <w:r w:rsidR="0013476A">
        <w:t>, as well as those for the remote database when synchronisation is required</w:t>
      </w:r>
      <w:r w:rsidR="00AD39F1">
        <w:t>.</w:t>
      </w:r>
      <w:r>
        <w:t xml:space="preserve"> </w:t>
      </w:r>
    </w:p>
    <w:p w14:paraId="59CE352B" w14:textId="77777777" w:rsidR="003531EB" w:rsidRDefault="00AD39F1" w:rsidP="003531EB">
      <w:pPr>
        <w:pStyle w:val="Heading2"/>
      </w:pPr>
      <w:r>
        <w:t>Last database</w:t>
      </w:r>
    </w:p>
    <w:p w14:paraId="56DAA15D" w14:textId="77777777" w:rsidR="00AD39F1" w:rsidRPr="00B276A7" w:rsidRDefault="003531EB" w:rsidP="00AD39F1">
      <w:r>
        <w:t>C</w:t>
      </w:r>
      <w:r w:rsidR="00AD39F1">
        <w:t>ontains the name of the last project used, which is used whenever the system is restarted.</w:t>
      </w:r>
    </w:p>
    <w:p w14:paraId="1C6D5876" w14:textId="30D5DFC4" w:rsidR="003531EB" w:rsidRPr="003531EB" w:rsidRDefault="0013476A" w:rsidP="003531EB">
      <w:pPr>
        <w:pStyle w:val="Heading2"/>
      </w:pPr>
      <w:proofErr w:type="spellStart"/>
      <w:r>
        <w:t>Startup</w:t>
      </w:r>
      <w:proofErr w:type="spellEnd"/>
      <w:r>
        <w:t xml:space="preserve"> settings</w:t>
      </w:r>
    </w:p>
    <w:p w14:paraId="29E75B05" w14:textId="19E39A80" w:rsidR="00AD39F1" w:rsidRPr="003531EB" w:rsidRDefault="0013476A" w:rsidP="00AD39F1">
      <w:r>
        <w:t>Allows the user the option of always starting the device with a connection to the remote database.  This is typically true for an installed system, and not for a portable system.  The user can also insist that the device will only start when the data unit is connected.  This is always true for an installed system, and is never true for a portable system.</w:t>
      </w:r>
    </w:p>
    <w:p w14:paraId="2B9B927A" w14:textId="77777777" w:rsidR="00AC5691" w:rsidRDefault="00AC5691" w:rsidP="009E49E4"/>
    <w:p w14:paraId="0A4F2CFD" w14:textId="77777777" w:rsidR="00360CEC" w:rsidRDefault="00360CEC" w:rsidP="00360CEC"/>
    <w:p w14:paraId="1A7D9125" w14:textId="77777777" w:rsidR="009E49E4" w:rsidRDefault="009E49E4" w:rsidP="009E49E4"/>
    <w:p w14:paraId="5E360ADC"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4F7C74"/>
    <w:multiLevelType w:val="hybridMultilevel"/>
    <w:tmpl w:val="96AA9B20"/>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66614"/>
    <w:rsid w:val="00005B0E"/>
    <w:rsid w:val="000508AC"/>
    <w:rsid w:val="00067E59"/>
    <w:rsid w:val="00084609"/>
    <w:rsid w:val="000B616E"/>
    <w:rsid w:val="000D18D3"/>
    <w:rsid w:val="000D7119"/>
    <w:rsid w:val="000F67C2"/>
    <w:rsid w:val="00104573"/>
    <w:rsid w:val="00131B9F"/>
    <w:rsid w:val="00133664"/>
    <w:rsid w:val="0013476A"/>
    <w:rsid w:val="00153AD9"/>
    <w:rsid w:val="00166F16"/>
    <w:rsid w:val="00171BD1"/>
    <w:rsid w:val="001B3795"/>
    <w:rsid w:val="00204B2C"/>
    <w:rsid w:val="002910E7"/>
    <w:rsid w:val="002A47DF"/>
    <w:rsid w:val="002C5CA3"/>
    <w:rsid w:val="002D068A"/>
    <w:rsid w:val="002E0960"/>
    <w:rsid w:val="00316F16"/>
    <w:rsid w:val="00337DF2"/>
    <w:rsid w:val="003531EB"/>
    <w:rsid w:val="00354DB6"/>
    <w:rsid w:val="00360CEC"/>
    <w:rsid w:val="003E7D56"/>
    <w:rsid w:val="0046255C"/>
    <w:rsid w:val="00475A73"/>
    <w:rsid w:val="00520882"/>
    <w:rsid w:val="0052099D"/>
    <w:rsid w:val="005232B6"/>
    <w:rsid w:val="00542F56"/>
    <w:rsid w:val="00556DAD"/>
    <w:rsid w:val="005840C6"/>
    <w:rsid w:val="005872FA"/>
    <w:rsid w:val="005938CF"/>
    <w:rsid w:val="005B2DD4"/>
    <w:rsid w:val="005D5067"/>
    <w:rsid w:val="00636670"/>
    <w:rsid w:val="00657757"/>
    <w:rsid w:val="00663091"/>
    <w:rsid w:val="006C6B9C"/>
    <w:rsid w:val="006D77CA"/>
    <w:rsid w:val="006F16CA"/>
    <w:rsid w:val="007209F6"/>
    <w:rsid w:val="007273D0"/>
    <w:rsid w:val="0074160B"/>
    <w:rsid w:val="007A3B27"/>
    <w:rsid w:val="007A69C4"/>
    <w:rsid w:val="007B718F"/>
    <w:rsid w:val="007E7131"/>
    <w:rsid w:val="00807762"/>
    <w:rsid w:val="008263E7"/>
    <w:rsid w:val="0084337D"/>
    <w:rsid w:val="00855622"/>
    <w:rsid w:val="008612C8"/>
    <w:rsid w:val="008935DD"/>
    <w:rsid w:val="008C5DDC"/>
    <w:rsid w:val="008D0436"/>
    <w:rsid w:val="008D4C84"/>
    <w:rsid w:val="009203DF"/>
    <w:rsid w:val="00927156"/>
    <w:rsid w:val="009962B5"/>
    <w:rsid w:val="0099760C"/>
    <w:rsid w:val="009A0C0C"/>
    <w:rsid w:val="009B71A8"/>
    <w:rsid w:val="009E2FEF"/>
    <w:rsid w:val="009E49E4"/>
    <w:rsid w:val="00A1076D"/>
    <w:rsid w:val="00A3202A"/>
    <w:rsid w:val="00A54884"/>
    <w:rsid w:val="00A66786"/>
    <w:rsid w:val="00A7299F"/>
    <w:rsid w:val="00A80054"/>
    <w:rsid w:val="00A8164F"/>
    <w:rsid w:val="00AA0031"/>
    <w:rsid w:val="00AB061B"/>
    <w:rsid w:val="00AC2D4C"/>
    <w:rsid w:val="00AC5691"/>
    <w:rsid w:val="00AD39F1"/>
    <w:rsid w:val="00AF1428"/>
    <w:rsid w:val="00AF63AB"/>
    <w:rsid w:val="00B25B02"/>
    <w:rsid w:val="00B276A7"/>
    <w:rsid w:val="00B40DE3"/>
    <w:rsid w:val="00B66AF8"/>
    <w:rsid w:val="00B67530"/>
    <w:rsid w:val="00B8433D"/>
    <w:rsid w:val="00C37C5B"/>
    <w:rsid w:val="00C642BE"/>
    <w:rsid w:val="00C66614"/>
    <w:rsid w:val="00CA66C4"/>
    <w:rsid w:val="00CD3FAF"/>
    <w:rsid w:val="00CE4C7F"/>
    <w:rsid w:val="00CF32E5"/>
    <w:rsid w:val="00D01CFC"/>
    <w:rsid w:val="00D038EF"/>
    <w:rsid w:val="00D74527"/>
    <w:rsid w:val="00D81EDB"/>
    <w:rsid w:val="00DF0F52"/>
    <w:rsid w:val="00E312BD"/>
    <w:rsid w:val="00E87AB5"/>
    <w:rsid w:val="00EB2761"/>
    <w:rsid w:val="00ED51BA"/>
    <w:rsid w:val="00F77377"/>
    <w:rsid w:val="00FA3D8B"/>
    <w:rsid w:val="00FB0147"/>
    <w:rsid w:val="00FC05A8"/>
    <w:rsid w:val="00FE6FB8"/>
    <w:rsid w:val="00FF38CE"/>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D26C40"/>
  <w14:defaultImageDpi w14:val="0"/>
  <w15:docId w15:val="{83F061F2-F6DB-469A-9D8D-71E10B8D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paragraph" w:styleId="ListParagraph">
    <w:name w:val="List Paragraph"/>
    <w:basedOn w:val="Normal"/>
    <w:uiPriority w:val="34"/>
    <w:qFormat/>
    <w:rsid w:val="00D01C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252167">
      <w:marLeft w:val="0"/>
      <w:marRight w:val="0"/>
      <w:marTop w:val="0"/>
      <w:marBottom w:val="0"/>
      <w:divBdr>
        <w:top w:val="none" w:sz="0" w:space="0" w:color="auto"/>
        <w:left w:val="none" w:sz="0" w:space="0" w:color="auto"/>
        <w:bottom w:val="none" w:sz="0" w:space="0" w:color="auto"/>
        <w:right w:val="none" w:sz="0" w:space="0" w:color="auto"/>
      </w:divBdr>
    </w:div>
    <w:div w:id="152725216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5" Type="http://schemas.openxmlformats.org/officeDocument/2006/relationships/image" Target="media/image1.pn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7041C7-761B-45B2-989A-CEF88234B2B0}"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n-US"/>
        </a:p>
      </dgm:t>
    </dgm:pt>
    <dgm:pt modelId="{13B8E0E0-D23B-435D-825D-26067A008177}">
      <dgm:prSet phldrT="[Text]"/>
      <dgm:spPr>
        <a:xfrm>
          <a:off x="2328639" y="939"/>
          <a:ext cx="1133921" cy="566960"/>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dirty="0">
              <a:solidFill>
                <a:sysClr val="window" lastClr="FFFFFF"/>
              </a:solidFill>
              <a:latin typeface="Calibri" panose="020F0502020204030204"/>
              <a:ea typeface="+mn-ea"/>
              <a:cs typeface="+mn-cs"/>
            </a:rPr>
            <a:t>Acquire voltage and current data</a:t>
          </a:r>
        </a:p>
      </dgm:t>
    </dgm:pt>
    <dgm:pt modelId="{DF187122-DEB1-4444-8291-9CF702909F50}" type="parTrans" cxnId="{538A9538-1E23-4949-A4FC-202614A2B87E}">
      <dgm:prSet/>
      <dgm:spPr/>
      <dgm:t>
        <a:bodyPr/>
        <a:lstStyle/>
        <a:p>
          <a:pPr algn="ctr"/>
          <a:endParaRPr lang="en-US"/>
        </a:p>
      </dgm:t>
    </dgm:pt>
    <dgm:pt modelId="{C82C923A-4670-44EA-9A36-2815153677CD}" type="sibTrans" cxnId="{538A9538-1E23-4949-A4FC-202614A2B87E}">
      <dgm:prSet/>
      <dgm:spPr>
        <a:xfrm>
          <a:off x="1366643" y="-3306"/>
          <a:ext cx="3057912" cy="3057912"/>
        </a:xfrm>
        <a:prstGeom prst="circularArrow">
          <a:avLst>
            <a:gd name="adj1" fmla="val 5274"/>
            <a:gd name="adj2" fmla="val 312630"/>
            <a:gd name="adj3" fmla="val 14272822"/>
            <a:gd name="adj4" fmla="val 17100914"/>
            <a:gd name="adj5" fmla="val 5477"/>
          </a:avLst>
        </a:prstGeom>
        <a:solidFill>
          <a:srgbClr val="FFC000"/>
        </a:solidFill>
        <a:ln>
          <a:noFill/>
        </a:ln>
        <a:effectLst/>
      </dgm:spPr>
      <dgm:t>
        <a:bodyPr/>
        <a:lstStyle/>
        <a:p>
          <a:pPr algn="ctr"/>
          <a:endParaRPr lang="en-US"/>
        </a:p>
      </dgm:t>
    </dgm:pt>
    <dgm:pt modelId="{35B68DAD-3AE6-4679-9C04-74A02226FD32}">
      <dgm:prSet phldrT="[Text]"/>
      <dgm:spPr>
        <a:xfrm>
          <a:off x="3402971" y="621205"/>
          <a:ext cx="1133921" cy="566960"/>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dirty="0">
              <a:solidFill>
                <a:sysClr val="window" lastClr="FFFFFF"/>
              </a:solidFill>
              <a:latin typeface="Calibri" panose="020F0502020204030204"/>
              <a:ea typeface="+mn-ea"/>
              <a:cs typeface="+mn-cs"/>
            </a:rPr>
            <a:t>Calculate electrical values</a:t>
          </a:r>
        </a:p>
      </dgm:t>
    </dgm:pt>
    <dgm:pt modelId="{1B6FAD7E-BB16-4329-A247-625CFD2F2508}" type="parTrans" cxnId="{DB35A988-4C38-43EA-A58E-C872368445D2}">
      <dgm:prSet/>
      <dgm:spPr/>
      <dgm:t>
        <a:bodyPr/>
        <a:lstStyle/>
        <a:p>
          <a:pPr algn="ctr"/>
          <a:endParaRPr lang="en-US"/>
        </a:p>
      </dgm:t>
    </dgm:pt>
    <dgm:pt modelId="{32084651-91F0-4CD7-9295-3F895B5A5E84}" type="sibTrans" cxnId="{DB35A988-4C38-43EA-A58E-C872368445D2}">
      <dgm:prSet/>
      <dgm:spPr/>
      <dgm:t>
        <a:bodyPr/>
        <a:lstStyle/>
        <a:p>
          <a:pPr algn="ctr"/>
          <a:endParaRPr lang="en-US"/>
        </a:p>
      </dgm:t>
    </dgm:pt>
    <dgm:pt modelId="{F0C1F2F2-4E41-4ACD-AA11-30ED1A570402}">
      <dgm:prSet phldrT="[Text]"/>
      <dgm:spPr>
        <a:xfrm>
          <a:off x="3402971" y="1861738"/>
          <a:ext cx="1133921" cy="566960"/>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dirty="0">
              <a:solidFill>
                <a:sysClr val="window" lastClr="FFFFFF"/>
              </a:solidFill>
              <a:latin typeface="Calibri" panose="020F0502020204030204"/>
              <a:ea typeface="+mn-ea"/>
              <a:cs typeface="+mn-cs"/>
            </a:rPr>
            <a:t>Validate acquired voltage and current data</a:t>
          </a:r>
        </a:p>
      </dgm:t>
    </dgm:pt>
    <dgm:pt modelId="{E3C822B6-763B-48DC-A10B-04F5B4D3609F}" type="parTrans" cxnId="{68448123-F982-460D-9C87-933E362E7BC5}">
      <dgm:prSet/>
      <dgm:spPr/>
      <dgm:t>
        <a:bodyPr/>
        <a:lstStyle/>
        <a:p>
          <a:pPr algn="ctr"/>
          <a:endParaRPr lang="en-US"/>
        </a:p>
      </dgm:t>
    </dgm:pt>
    <dgm:pt modelId="{99D82366-7346-4F53-9C64-9AA135DB2F88}" type="sibTrans" cxnId="{68448123-F982-460D-9C87-933E362E7BC5}">
      <dgm:prSet/>
      <dgm:spPr/>
      <dgm:t>
        <a:bodyPr/>
        <a:lstStyle/>
        <a:p>
          <a:pPr algn="ctr"/>
          <a:endParaRPr lang="en-US"/>
        </a:p>
      </dgm:t>
    </dgm:pt>
    <dgm:pt modelId="{326F1FEE-6640-4E6B-A46C-44B07A635B64}">
      <dgm:prSet phldrT="[Text]"/>
      <dgm:spPr>
        <a:xfrm>
          <a:off x="2328639" y="2482004"/>
          <a:ext cx="1133921" cy="566960"/>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dirty="0">
              <a:solidFill>
                <a:sysClr val="window" lastClr="FFFFFF"/>
              </a:solidFill>
              <a:latin typeface="Calibri" panose="020F0502020204030204"/>
              <a:ea typeface="+mn-ea"/>
              <a:cs typeface="+mn-cs"/>
            </a:rPr>
            <a:t>Create machine model and residual current</a:t>
          </a:r>
        </a:p>
      </dgm:t>
    </dgm:pt>
    <dgm:pt modelId="{DB1721F5-5142-4028-883F-C9CE7F7EE6F7}" type="parTrans" cxnId="{87DD4836-B30F-4F1B-BB7C-77383A908ABE}">
      <dgm:prSet/>
      <dgm:spPr/>
      <dgm:t>
        <a:bodyPr/>
        <a:lstStyle/>
        <a:p>
          <a:pPr algn="ctr"/>
          <a:endParaRPr lang="en-US"/>
        </a:p>
      </dgm:t>
    </dgm:pt>
    <dgm:pt modelId="{912CE7F9-E62E-4038-AB91-9519F20BC55E}" type="sibTrans" cxnId="{87DD4836-B30F-4F1B-BB7C-77383A908ABE}">
      <dgm:prSet/>
      <dgm:spPr/>
      <dgm:t>
        <a:bodyPr/>
        <a:lstStyle/>
        <a:p>
          <a:pPr algn="ctr"/>
          <a:endParaRPr lang="en-US"/>
        </a:p>
      </dgm:t>
    </dgm:pt>
    <dgm:pt modelId="{BABD58DF-34AC-4F0A-9F49-C108CEF95247}">
      <dgm:prSet phldrT="[Text]"/>
      <dgm:spPr>
        <a:xfrm>
          <a:off x="1254306" y="1861738"/>
          <a:ext cx="1133921" cy="566960"/>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dirty="0">
              <a:solidFill>
                <a:sysClr val="window" lastClr="FFFFFF"/>
              </a:solidFill>
              <a:latin typeface="Calibri" panose="020F0502020204030204"/>
              <a:ea typeface="+mn-ea"/>
              <a:cs typeface="+mn-cs"/>
            </a:rPr>
            <a:t>Generate Power Spectral Density (PSD) results</a:t>
          </a:r>
        </a:p>
      </dgm:t>
    </dgm:pt>
    <dgm:pt modelId="{61A6959B-873A-4155-9B80-57B52619CE61}" type="parTrans" cxnId="{72A7714D-06DA-4413-B284-86550A69DAA7}">
      <dgm:prSet/>
      <dgm:spPr/>
      <dgm:t>
        <a:bodyPr/>
        <a:lstStyle/>
        <a:p>
          <a:pPr algn="ctr"/>
          <a:endParaRPr lang="en-US"/>
        </a:p>
      </dgm:t>
    </dgm:pt>
    <dgm:pt modelId="{1BA459D2-F9AE-47B4-B8BE-77B99043C25B}" type="sibTrans" cxnId="{72A7714D-06DA-4413-B284-86550A69DAA7}">
      <dgm:prSet/>
      <dgm:spPr/>
      <dgm:t>
        <a:bodyPr/>
        <a:lstStyle/>
        <a:p>
          <a:pPr algn="ctr"/>
          <a:endParaRPr lang="en-US"/>
        </a:p>
      </dgm:t>
    </dgm:pt>
    <dgm:pt modelId="{2661057D-E92D-4AD9-8525-F5E4286631FF}">
      <dgm:prSet phldrT="[Text]"/>
      <dgm:spPr>
        <a:xfrm>
          <a:off x="1254306" y="621205"/>
          <a:ext cx="1133921" cy="566960"/>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dirty="0">
              <a:solidFill>
                <a:sysClr val="window" lastClr="FFFFFF"/>
              </a:solidFill>
              <a:latin typeface="Calibri" panose="020F0502020204030204"/>
              <a:ea typeface="+mn-ea"/>
              <a:cs typeface="+mn-cs"/>
            </a:rPr>
            <a:t>Interpret the PSDs and provide diagnostic advice</a:t>
          </a:r>
        </a:p>
      </dgm:t>
    </dgm:pt>
    <dgm:pt modelId="{3F039B07-7C1B-4589-8E06-A25731E7A020}" type="parTrans" cxnId="{2D621044-9953-4C3E-978A-17B0FAF3ABD2}">
      <dgm:prSet/>
      <dgm:spPr/>
      <dgm:t>
        <a:bodyPr/>
        <a:lstStyle/>
        <a:p>
          <a:pPr algn="ctr"/>
          <a:endParaRPr lang="en-US"/>
        </a:p>
      </dgm:t>
    </dgm:pt>
    <dgm:pt modelId="{DB5F6D40-0AAB-43FB-AABD-BB839A11B1C2}" type="sibTrans" cxnId="{2D621044-9953-4C3E-978A-17B0FAF3ABD2}">
      <dgm:prSet/>
      <dgm:spPr/>
      <dgm:t>
        <a:bodyPr/>
        <a:lstStyle/>
        <a:p>
          <a:pPr algn="ctr"/>
          <a:endParaRPr lang="en-US"/>
        </a:p>
      </dgm:t>
    </dgm:pt>
    <dgm:pt modelId="{30C31B30-6221-485C-8ED0-B43385DADA7E}">
      <dgm:prSet phldrT="[Text]"/>
      <dgm:spPr>
        <a:xfrm>
          <a:off x="1254306" y="621205"/>
          <a:ext cx="1133921" cy="566960"/>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dirty="0">
              <a:solidFill>
                <a:sysClr val="window" lastClr="FFFFFF"/>
              </a:solidFill>
              <a:latin typeface="Calibri" panose="020F0502020204030204"/>
              <a:ea typeface="+mn-ea"/>
              <a:cs typeface="+mn-cs"/>
            </a:rPr>
            <a:t>Store and sync data</a:t>
          </a:r>
        </a:p>
      </dgm:t>
    </dgm:pt>
    <dgm:pt modelId="{A4AAB526-2479-48D2-820B-6D002B49721F}" type="parTrans" cxnId="{5F29C1F8-A127-46B9-BBBF-7CC6E6AB56DC}">
      <dgm:prSet/>
      <dgm:spPr/>
    </dgm:pt>
    <dgm:pt modelId="{D639D202-852E-4370-83A3-A2396B9E3B4C}" type="sibTrans" cxnId="{5F29C1F8-A127-46B9-BBBF-7CC6E6AB56DC}">
      <dgm:prSet/>
      <dgm:spPr/>
    </dgm:pt>
    <dgm:pt modelId="{A522EDCA-73FB-476B-AF30-EB26F0A21DB9}">
      <dgm:prSet phldrT="[Text]"/>
      <dgm:spPr>
        <a:xfrm>
          <a:off x="1254306" y="621205"/>
          <a:ext cx="1133921" cy="566960"/>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a:buNone/>
          </a:pPr>
          <a:r>
            <a:rPr lang="en-US" dirty="0">
              <a:solidFill>
                <a:sysClr val="window" lastClr="FFFFFF"/>
              </a:solidFill>
              <a:latin typeface="Calibri" panose="020F0502020204030204"/>
              <a:ea typeface="+mn-ea"/>
              <a:cs typeface="+mn-cs"/>
            </a:rPr>
            <a:t>Calculate fault trend and alarm data</a:t>
          </a:r>
        </a:p>
      </dgm:t>
    </dgm:pt>
    <dgm:pt modelId="{70A67290-86E6-40B4-9A57-B714D51E41D6}" type="parTrans" cxnId="{00158551-1DF9-4727-9B78-022B3E9AEB0F}">
      <dgm:prSet/>
      <dgm:spPr/>
    </dgm:pt>
    <dgm:pt modelId="{697F9AB9-7690-4316-9C2E-9DD9FB869757}" type="sibTrans" cxnId="{00158551-1DF9-4727-9B78-022B3E9AEB0F}">
      <dgm:prSet/>
      <dgm:spPr/>
    </dgm:pt>
    <dgm:pt modelId="{E3C7BE5C-CAAC-4EDA-B248-608D4F9F5BA6}" type="pres">
      <dgm:prSet presAssocID="{C67041C7-761B-45B2-989A-CEF88234B2B0}" presName="Name0" presStyleCnt="0">
        <dgm:presLayoutVars>
          <dgm:dir/>
          <dgm:resizeHandles val="exact"/>
        </dgm:presLayoutVars>
      </dgm:prSet>
      <dgm:spPr/>
    </dgm:pt>
    <dgm:pt modelId="{732830D8-DC37-4B47-96BE-2562ACE9BF8F}" type="pres">
      <dgm:prSet presAssocID="{C67041C7-761B-45B2-989A-CEF88234B2B0}" presName="cycle" presStyleCnt="0"/>
      <dgm:spPr/>
    </dgm:pt>
    <dgm:pt modelId="{1E89333C-CB0A-4E86-8B07-D2610C9803D1}" type="pres">
      <dgm:prSet presAssocID="{13B8E0E0-D23B-435D-825D-26067A008177}" presName="nodeFirstNode" presStyleLbl="node1" presStyleIdx="0" presStyleCnt="8">
        <dgm:presLayoutVars>
          <dgm:bulletEnabled val="1"/>
        </dgm:presLayoutVars>
      </dgm:prSet>
      <dgm:spPr/>
    </dgm:pt>
    <dgm:pt modelId="{1E31D0D6-F9F4-41F2-8A42-2FDDD41FC16F}" type="pres">
      <dgm:prSet presAssocID="{C82C923A-4670-44EA-9A36-2815153677CD}" presName="sibTransFirstNode" presStyleLbl="bgShp" presStyleIdx="0" presStyleCnt="1"/>
      <dgm:spPr/>
    </dgm:pt>
    <dgm:pt modelId="{C9534E30-9112-494B-96A9-3D3B4859B7F6}" type="pres">
      <dgm:prSet presAssocID="{35B68DAD-3AE6-4679-9C04-74A02226FD32}" presName="nodeFollowingNodes" presStyleLbl="node1" presStyleIdx="1" presStyleCnt="8">
        <dgm:presLayoutVars>
          <dgm:bulletEnabled val="1"/>
        </dgm:presLayoutVars>
      </dgm:prSet>
      <dgm:spPr/>
    </dgm:pt>
    <dgm:pt modelId="{123678E6-D4A1-432D-9FDB-E8DAF26B9B6A}" type="pres">
      <dgm:prSet presAssocID="{F0C1F2F2-4E41-4ACD-AA11-30ED1A570402}" presName="nodeFollowingNodes" presStyleLbl="node1" presStyleIdx="2" presStyleCnt="8">
        <dgm:presLayoutVars>
          <dgm:bulletEnabled val="1"/>
        </dgm:presLayoutVars>
      </dgm:prSet>
      <dgm:spPr/>
    </dgm:pt>
    <dgm:pt modelId="{2BFC42B3-0BCF-4475-885F-B02569984FB4}" type="pres">
      <dgm:prSet presAssocID="{326F1FEE-6640-4E6B-A46C-44B07A635B64}" presName="nodeFollowingNodes" presStyleLbl="node1" presStyleIdx="3" presStyleCnt="8">
        <dgm:presLayoutVars>
          <dgm:bulletEnabled val="1"/>
        </dgm:presLayoutVars>
      </dgm:prSet>
      <dgm:spPr/>
    </dgm:pt>
    <dgm:pt modelId="{146007DA-F6FB-4C7E-ABE0-F03593044F0E}" type="pres">
      <dgm:prSet presAssocID="{BABD58DF-34AC-4F0A-9F49-C108CEF95247}" presName="nodeFollowingNodes" presStyleLbl="node1" presStyleIdx="4" presStyleCnt="8">
        <dgm:presLayoutVars>
          <dgm:bulletEnabled val="1"/>
        </dgm:presLayoutVars>
      </dgm:prSet>
      <dgm:spPr/>
    </dgm:pt>
    <dgm:pt modelId="{300F7955-5E2D-4CE8-8998-E84CEB5733C5}" type="pres">
      <dgm:prSet presAssocID="{2661057D-E92D-4AD9-8525-F5E4286631FF}" presName="nodeFollowingNodes" presStyleLbl="node1" presStyleIdx="5" presStyleCnt="8">
        <dgm:presLayoutVars>
          <dgm:bulletEnabled val="1"/>
        </dgm:presLayoutVars>
      </dgm:prSet>
      <dgm:spPr/>
    </dgm:pt>
    <dgm:pt modelId="{B7C396F7-45AC-4DD8-BE2F-F81DAF835835}" type="pres">
      <dgm:prSet presAssocID="{A522EDCA-73FB-476B-AF30-EB26F0A21DB9}" presName="nodeFollowingNodes" presStyleLbl="node1" presStyleIdx="6" presStyleCnt="8">
        <dgm:presLayoutVars>
          <dgm:bulletEnabled val="1"/>
        </dgm:presLayoutVars>
      </dgm:prSet>
      <dgm:spPr>
        <a:prstGeom prst="roundRect">
          <a:avLst/>
        </a:prstGeom>
      </dgm:spPr>
    </dgm:pt>
    <dgm:pt modelId="{E07FD5AE-7037-47FB-8FA3-3DBC25161699}" type="pres">
      <dgm:prSet presAssocID="{30C31B30-6221-485C-8ED0-B43385DADA7E}" presName="nodeFollowingNodes" presStyleLbl="node1" presStyleIdx="7" presStyleCnt="8">
        <dgm:presLayoutVars>
          <dgm:bulletEnabled val="1"/>
        </dgm:presLayoutVars>
      </dgm:prSet>
      <dgm:spPr>
        <a:prstGeom prst="roundRect">
          <a:avLst/>
        </a:prstGeom>
      </dgm:spPr>
    </dgm:pt>
  </dgm:ptLst>
  <dgm:cxnLst>
    <dgm:cxn modelId="{B3ADA012-E02A-4375-A742-6F06DC3E256D}" type="presOf" srcId="{326F1FEE-6640-4E6B-A46C-44B07A635B64}" destId="{2BFC42B3-0BCF-4475-885F-B02569984FB4}" srcOrd="0" destOrd="0" presId="urn:microsoft.com/office/officeart/2005/8/layout/cycle3"/>
    <dgm:cxn modelId="{EAFDB312-6626-45E9-A03A-1D1A9C9641B3}" type="presOf" srcId="{F0C1F2F2-4E41-4ACD-AA11-30ED1A570402}" destId="{123678E6-D4A1-432D-9FDB-E8DAF26B9B6A}" srcOrd="0" destOrd="0" presId="urn:microsoft.com/office/officeart/2005/8/layout/cycle3"/>
    <dgm:cxn modelId="{68448123-F982-460D-9C87-933E362E7BC5}" srcId="{C67041C7-761B-45B2-989A-CEF88234B2B0}" destId="{F0C1F2F2-4E41-4ACD-AA11-30ED1A570402}" srcOrd="2" destOrd="0" parTransId="{E3C822B6-763B-48DC-A10B-04F5B4D3609F}" sibTransId="{99D82366-7346-4F53-9C64-9AA135DB2F88}"/>
    <dgm:cxn modelId="{87DD4836-B30F-4F1B-BB7C-77383A908ABE}" srcId="{C67041C7-761B-45B2-989A-CEF88234B2B0}" destId="{326F1FEE-6640-4E6B-A46C-44B07A635B64}" srcOrd="3" destOrd="0" parTransId="{DB1721F5-5142-4028-883F-C9CE7F7EE6F7}" sibTransId="{912CE7F9-E62E-4038-AB91-9519F20BC55E}"/>
    <dgm:cxn modelId="{538A9538-1E23-4949-A4FC-202614A2B87E}" srcId="{C67041C7-761B-45B2-989A-CEF88234B2B0}" destId="{13B8E0E0-D23B-435D-825D-26067A008177}" srcOrd="0" destOrd="0" parTransId="{DF187122-DEB1-4444-8291-9CF702909F50}" sibTransId="{C82C923A-4670-44EA-9A36-2815153677CD}"/>
    <dgm:cxn modelId="{2D621044-9953-4C3E-978A-17B0FAF3ABD2}" srcId="{C67041C7-761B-45B2-989A-CEF88234B2B0}" destId="{2661057D-E92D-4AD9-8525-F5E4286631FF}" srcOrd="5" destOrd="0" parTransId="{3F039B07-7C1B-4589-8E06-A25731E7A020}" sibTransId="{DB5F6D40-0AAB-43FB-AABD-BB839A11B1C2}"/>
    <dgm:cxn modelId="{65658A69-BFB6-4657-B759-97736F9BC444}" type="presOf" srcId="{A522EDCA-73FB-476B-AF30-EB26F0A21DB9}" destId="{B7C396F7-45AC-4DD8-BE2F-F81DAF835835}" srcOrd="0" destOrd="0" presId="urn:microsoft.com/office/officeart/2005/8/layout/cycle3"/>
    <dgm:cxn modelId="{72A7714D-06DA-4413-B284-86550A69DAA7}" srcId="{C67041C7-761B-45B2-989A-CEF88234B2B0}" destId="{BABD58DF-34AC-4F0A-9F49-C108CEF95247}" srcOrd="4" destOrd="0" parTransId="{61A6959B-873A-4155-9B80-57B52619CE61}" sibTransId="{1BA459D2-F9AE-47B4-B8BE-77B99043C25B}"/>
    <dgm:cxn modelId="{EC3F3451-1609-4D3B-8B9F-2E8B58401268}" type="presOf" srcId="{30C31B30-6221-485C-8ED0-B43385DADA7E}" destId="{E07FD5AE-7037-47FB-8FA3-3DBC25161699}" srcOrd="0" destOrd="0" presId="urn:microsoft.com/office/officeart/2005/8/layout/cycle3"/>
    <dgm:cxn modelId="{00158551-1DF9-4727-9B78-022B3E9AEB0F}" srcId="{C67041C7-761B-45B2-989A-CEF88234B2B0}" destId="{A522EDCA-73FB-476B-AF30-EB26F0A21DB9}" srcOrd="6" destOrd="0" parTransId="{70A67290-86E6-40B4-9A57-B714D51E41D6}" sibTransId="{697F9AB9-7690-4316-9C2E-9DD9FB869757}"/>
    <dgm:cxn modelId="{FEF05A7B-7541-45D2-83C9-5E8DED051539}" type="presOf" srcId="{C82C923A-4670-44EA-9A36-2815153677CD}" destId="{1E31D0D6-F9F4-41F2-8A42-2FDDD41FC16F}" srcOrd="0" destOrd="0" presId="urn:microsoft.com/office/officeart/2005/8/layout/cycle3"/>
    <dgm:cxn modelId="{D22CCB7F-5417-4C89-A9ED-984B291110FE}" type="presOf" srcId="{2661057D-E92D-4AD9-8525-F5E4286631FF}" destId="{300F7955-5E2D-4CE8-8998-E84CEB5733C5}" srcOrd="0" destOrd="0" presId="urn:microsoft.com/office/officeart/2005/8/layout/cycle3"/>
    <dgm:cxn modelId="{DB35A988-4C38-43EA-A58E-C872368445D2}" srcId="{C67041C7-761B-45B2-989A-CEF88234B2B0}" destId="{35B68DAD-3AE6-4679-9C04-74A02226FD32}" srcOrd="1" destOrd="0" parTransId="{1B6FAD7E-BB16-4329-A247-625CFD2F2508}" sibTransId="{32084651-91F0-4CD7-9295-3F895B5A5E84}"/>
    <dgm:cxn modelId="{8E944F9A-A8CE-42ED-920E-DB731C2E0678}" type="presOf" srcId="{35B68DAD-3AE6-4679-9C04-74A02226FD32}" destId="{C9534E30-9112-494B-96A9-3D3B4859B7F6}" srcOrd="0" destOrd="0" presId="urn:microsoft.com/office/officeart/2005/8/layout/cycle3"/>
    <dgm:cxn modelId="{1C9D20B5-FCE5-4BFB-833E-D29AFFD9F5DD}" type="presOf" srcId="{BABD58DF-34AC-4F0A-9F49-C108CEF95247}" destId="{146007DA-F6FB-4C7E-ABE0-F03593044F0E}" srcOrd="0" destOrd="0" presId="urn:microsoft.com/office/officeart/2005/8/layout/cycle3"/>
    <dgm:cxn modelId="{14D173D1-5C00-46F1-A9C0-EE2B9C79D135}" type="presOf" srcId="{C67041C7-761B-45B2-989A-CEF88234B2B0}" destId="{E3C7BE5C-CAAC-4EDA-B248-608D4F9F5BA6}" srcOrd="0" destOrd="0" presId="urn:microsoft.com/office/officeart/2005/8/layout/cycle3"/>
    <dgm:cxn modelId="{5C67E8D9-3989-4C05-BC42-84656DC3BCEC}" type="presOf" srcId="{13B8E0E0-D23B-435D-825D-26067A008177}" destId="{1E89333C-CB0A-4E86-8B07-D2610C9803D1}" srcOrd="0" destOrd="0" presId="urn:microsoft.com/office/officeart/2005/8/layout/cycle3"/>
    <dgm:cxn modelId="{5F29C1F8-A127-46B9-BBBF-7CC6E6AB56DC}" srcId="{C67041C7-761B-45B2-989A-CEF88234B2B0}" destId="{30C31B30-6221-485C-8ED0-B43385DADA7E}" srcOrd="7" destOrd="0" parTransId="{A4AAB526-2479-48D2-820B-6D002B49721F}" sibTransId="{D639D202-852E-4370-83A3-A2396B9E3B4C}"/>
    <dgm:cxn modelId="{D037EFC2-E9D5-4770-9532-1E2FC52263DE}" type="presParOf" srcId="{E3C7BE5C-CAAC-4EDA-B248-608D4F9F5BA6}" destId="{732830D8-DC37-4B47-96BE-2562ACE9BF8F}" srcOrd="0" destOrd="0" presId="urn:microsoft.com/office/officeart/2005/8/layout/cycle3"/>
    <dgm:cxn modelId="{D5621C9D-17EB-4B1A-A062-7FC38398B02C}" type="presParOf" srcId="{732830D8-DC37-4B47-96BE-2562ACE9BF8F}" destId="{1E89333C-CB0A-4E86-8B07-D2610C9803D1}" srcOrd="0" destOrd="0" presId="urn:microsoft.com/office/officeart/2005/8/layout/cycle3"/>
    <dgm:cxn modelId="{9EAC8497-F36C-41EA-87C6-FC8C5A488DED}" type="presParOf" srcId="{732830D8-DC37-4B47-96BE-2562ACE9BF8F}" destId="{1E31D0D6-F9F4-41F2-8A42-2FDDD41FC16F}" srcOrd="1" destOrd="0" presId="urn:microsoft.com/office/officeart/2005/8/layout/cycle3"/>
    <dgm:cxn modelId="{C8A9FB16-AFEC-4B26-90AF-255472474367}" type="presParOf" srcId="{732830D8-DC37-4B47-96BE-2562ACE9BF8F}" destId="{C9534E30-9112-494B-96A9-3D3B4859B7F6}" srcOrd="2" destOrd="0" presId="urn:microsoft.com/office/officeart/2005/8/layout/cycle3"/>
    <dgm:cxn modelId="{74EFC7CE-A28E-4AF3-B0E0-C4F796FDC903}" type="presParOf" srcId="{732830D8-DC37-4B47-96BE-2562ACE9BF8F}" destId="{123678E6-D4A1-432D-9FDB-E8DAF26B9B6A}" srcOrd="3" destOrd="0" presId="urn:microsoft.com/office/officeart/2005/8/layout/cycle3"/>
    <dgm:cxn modelId="{BB17CBEE-C098-489B-956C-4CB11B1C7915}" type="presParOf" srcId="{732830D8-DC37-4B47-96BE-2562ACE9BF8F}" destId="{2BFC42B3-0BCF-4475-885F-B02569984FB4}" srcOrd="4" destOrd="0" presId="urn:microsoft.com/office/officeart/2005/8/layout/cycle3"/>
    <dgm:cxn modelId="{D82B6437-0EA4-4501-800C-C7AC3EE26F73}" type="presParOf" srcId="{732830D8-DC37-4B47-96BE-2562ACE9BF8F}" destId="{146007DA-F6FB-4C7E-ABE0-F03593044F0E}" srcOrd="5" destOrd="0" presId="urn:microsoft.com/office/officeart/2005/8/layout/cycle3"/>
    <dgm:cxn modelId="{38D7A89F-06F9-4ACE-82BC-F89EFD78F94A}" type="presParOf" srcId="{732830D8-DC37-4B47-96BE-2562ACE9BF8F}" destId="{300F7955-5E2D-4CE8-8998-E84CEB5733C5}" srcOrd="6" destOrd="0" presId="urn:microsoft.com/office/officeart/2005/8/layout/cycle3"/>
    <dgm:cxn modelId="{B3A89FEC-94B8-4506-BC6C-843447D797A1}" type="presParOf" srcId="{732830D8-DC37-4B47-96BE-2562ACE9BF8F}" destId="{B7C396F7-45AC-4DD8-BE2F-F81DAF835835}" srcOrd="7" destOrd="0" presId="urn:microsoft.com/office/officeart/2005/8/layout/cycle3"/>
    <dgm:cxn modelId="{80A2E611-2F20-41A5-AF7E-215AC18F136B}" type="presParOf" srcId="{732830D8-DC37-4B47-96BE-2562ACE9BF8F}" destId="{E07FD5AE-7037-47FB-8FA3-3DBC25161699}" srcOrd="8" destOrd="0" presId="urn:microsoft.com/office/officeart/2005/8/layout/cycle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31D0D6-F9F4-41F2-8A42-2FDDD41FC16F}">
      <dsp:nvSpPr>
        <dsp:cNvPr id="0" name=""/>
        <dsp:cNvSpPr/>
      </dsp:nvSpPr>
      <dsp:spPr>
        <a:xfrm>
          <a:off x="1357557" y="-27892"/>
          <a:ext cx="3076085" cy="3076085"/>
        </a:xfrm>
        <a:prstGeom prst="circularArrow">
          <a:avLst>
            <a:gd name="adj1" fmla="val 5274"/>
            <a:gd name="adj2" fmla="val 312630"/>
            <a:gd name="adj3" fmla="val 14272822"/>
            <a:gd name="adj4" fmla="val 17100914"/>
            <a:gd name="adj5" fmla="val 5477"/>
          </a:avLst>
        </a:prstGeom>
        <a:solidFill>
          <a:srgbClr val="FFC000"/>
        </a:solidFill>
        <a:ln>
          <a:noFill/>
        </a:ln>
        <a:effectLst/>
      </dsp:spPr>
      <dsp:style>
        <a:lnRef idx="0">
          <a:scrgbClr r="0" g="0" b="0"/>
        </a:lnRef>
        <a:fillRef idx="1">
          <a:scrgbClr r="0" g="0" b="0"/>
        </a:fillRef>
        <a:effectRef idx="0">
          <a:scrgbClr r="0" g="0" b="0"/>
        </a:effectRef>
        <a:fontRef idx="minor"/>
      </dsp:style>
    </dsp:sp>
    <dsp:sp modelId="{1E89333C-CB0A-4E86-8B07-D2610C9803D1}">
      <dsp:nvSpPr>
        <dsp:cNvPr id="0" name=""/>
        <dsp:cNvSpPr/>
      </dsp:nvSpPr>
      <dsp:spPr>
        <a:xfrm>
          <a:off x="2468612" y="964"/>
          <a:ext cx="853975" cy="426987"/>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 lastClr="FFFFFF"/>
              </a:solidFill>
              <a:latin typeface="Calibri" panose="020F0502020204030204"/>
              <a:ea typeface="+mn-ea"/>
              <a:cs typeface="+mn-cs"/>
            </a:rPr>
            <a:t>Acquire voltage and current data</a:t>
          </a:r>
        </a:p>
      </dsp:txBody>
      <dsp:txXfrm>
        <a:off x="2489456" y="21808"/>
        <a:ext cx="812287" cy="385299"/>
      </dsp:txXfrm>
    </dsp:sp>
    <dsp:sp modelId="{C9534E30-9112-494B-96A9-3D3B4859B7F6}">
      <dsp:nvSpPr>
        <dsp:cNvPr id="0" name=""/>
        <dsp:cNvSpPr/>
      </dsp:nvSpPr>
      <dsp:spPr>
        <a:xfrm>
          <a:off x="3396169" y="385171"/>
          <a:ext cx="853975" cy="426987"/>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 lastClr="FFFFFF"/>
              </a:solidFill>
              <a:latin typeface="Calibri" panose="020F0502020204030204"/>
              <a:ea typeface="+mn-ea"/>
              <a:cs typeface="+mn-cs"/>
            </a:rPr>
            <a:t>Calculate electrical values</a:t>
          </a:r>
        </a:p>
      </dsp:txBody>
      <dsp:txXfrm>
        <a:off x="3417013" y="406015"/>
        <a:ext cx="812287" cy="385299"/>
      </dsp:txXfrm>
    </dsp:sp>
    <dsp:sp modelId="{123678E6-D4A1-432D-9FDB-E8DAF26B9B6A}">
      <dsp:nvSpPr>
        <dsp:cNvPr id="0" name=""/>
        <dsp:cNvSpPr/>
      </dsp:nvSpPr>
      <dsp:spPr>
        <a:xfrm>
          <a:off x="3780375" y="1312728"/>
          <a:ext cx="853975" cy="426987"/>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 lastClr="FFFFFF"/>
              </a:solidFill>
              <a:latin typeface="Calibri" panose="020F0502020204030204"/>
              <a:ea typeface="+mn-ea"/>
              <a:cs typeface="+mn-cs"/>
            </a:rPr>
            <a:t>Validate acquired voltage and current data</a:t>
          </a:r>
        </a:p>
      </dsp:txBody>
      <dsp:txXfrm>
        <a:off x="3801219" y="1333572"/>
        <a:ext cx="812287" cy="385299"/>
      </dsp:txXfrm>
    </dsp:sp>
    <dsp:sp modelId="{2BFC42B3-0BCF-4475-885F-B02569984FB4}">
      <dsp:nvSpPr>
        <dsp:cNvPr id="0" name=""/>
        <dsp:cNvSpPr/>
      </dsp:nvSpPr>
      <dsp:spPr>
        <a:xfrm>
          <a:off x="3396169" y="2240285"/>
          <a:ext cx="853975" cy="426987"/>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 lastClr="FFFFFF"/>
              </a:solidFill>
              <a:latin typeface="Calibri" panose="020F0502020204030204"/>
              <a:ea typeface="+mn-ea"/>
              <a:cs typeface="+mn-cs"/>
            </a:rPr>
            <a:t>Create machine model and residual current</a:t>
          </a:r>
        </a:p>
      </dsp:txBody>
      <dsp:txXfrm>
        <a:off x="3417013" y="2261129"/>
        <a:ext cx="812287" cy="385299"/>
      </dsp:txXfrm>
    </dsp:sp>
    <dsp:sp modelId="{146007DA-F6FB-4C7E-ABE0-F03593044F0E}">
      <dsp:nvSpPr>
        <dsp:cNvPr id="0" name=""/>
        <dsp:cNvSpPr/>
      </dsp:nvSpPr>
      <dsp:spPr>
        <a:xfrm>
          <a:off x="2468612" y="2624492"/>
          <a:ext cx="853975" cy="426987"/>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 lastClr="FFFFFF"/>
              </a:solidFill>
              <a:latin typeface="Calibri" panose="020F0502020204030204"/>
              <a:ea typeface="+mn-ea"/>
              <a:cs typeface="+mn-cs"/>
            </a:rPr>
            <a:t>Generate Power Spectral Density (PSD) results</a:t>
          </a:r>
        </a:p>
      </dsp:txBody>
      <dsp:txXfrm>
        <a:off x="2489456" y="2645336"/>
        <a:ext cx="812287" cy="385299"/>
      </dsp:txXfrm>
    </dsp:sp>
    <dsp:sp modelId="{300F7955-5E2D-4CE8-8998-E84CEB5733C5}">
      <dsp:nvSpPr>
        <dsp:cNvPr id="0" name=""/>
        <dsp:cNvSpPr/>
      </dsp:nvSpPr>
      <dsp:spPr>
        <a:xfrm>
          <a:off x="1541055" y="2240285"/>
          <a:ext cx="853975" cy="426987"/>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 lastClr="FFFFFF"/>
              </a:solidFill>
              <a:latin typeface="Calibri" panose="020F0502020204030204"/>
              <a:ea typeface="+mn-ea"/>
              <a:cs typeface="+mn-cs"/>
            </a:rPr>
            <a:t>Interpret the PSDs and provide diagnostic advice</a:t>
          </a:r>
        </a:p>
      </dsp:txBody>
      <dsp:txXfrm>
        <a:off x="1561899" y="2261129"/>
        <a:ext cx="812287" cy="385299"/>
      </dsp:txXfrm>
    </dsp:sp>
    <dsp:sp modelId="{B7C396F7-45AC-4DD8-BE2F-F81DAF835835}">
      <dsp:nvSpPr>
        <dsp:cNvPr id="0" name=""/>
        <dsp:cNvSpPr/>
      </dsp:nvSpPr>
      <dsp:spPr>
        <a:xfrm>
          <a:off x="1156848" y="1312728"/>
          <a:ext cx="853975" cy="426987"/>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 lastClr="FFFFFF"/>
              </a:solidFill>
              <a:latin typeface="Calibri" panose="020F0502020204030204"/>
              <a:ea typeface="+mn-ea"/>
              <a:cs typeface="+mn-cs"/>
            </a:rPr>
            <a:t>Calculate fault trend and alarm data</a:t>
          </a:r>
        </a:p>
      </dsp:txBody>
      <dsp:txXfrm>
        <a:off x="1177692" y="1333572"/>
        <a:ext cx="812287" cy="385299"/>
      </dsp:txXfrm>
    </dsp:sp>
    <dsp:sp modelId="{E07FD5AE-7037-47FB-8FA3-3DBC25161699}">
      <dsp:nvSpPr>
        <dsp:cNvPr id="0" name=""/>
        <dsp:cNvSpPr/>
      </dsp:nvSpPr>
      <dsp:spPr>
        <a:xfrm>
          <a:off x="1541055" y="385171"/>
          <a:ext cx="853975" cy="426987"/>
        </a:xfrm>
        <a:prstGeom prst="round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 lastClr="FFFFFF"/>
              </a:solidFill>
              <a:latin typeface="Calibri" panose="020F0502020204030204"/>
              <a:ea typeface="+mn-ea"/>
              <a:cs typeface="+mn-cs"/>
            </a:rPr>
            <a:t>Store and sync data</a:t>
          </a:r>
        </a:p>
      </dsp:txBody>
      <dsp:txXfrm>
        <a:off x="1561899" y="406015"/>
        <a:ext cx="812287" cy="38529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3656</TotalTime>
  <Pages>3</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8</cp:revision>
  <cp:lastPrinted>2019-03-15T22:16:00Z</cp:lastPrinted>
  <dcterms:created xsi:type="dcterms:W3CDTF">2018-02-14T14:35:00Z</dcterms:created>
  <dcterms:modified xsi:type="dcterms:W3CDTF">2019-03-18T13:59:00Z</dcterms:modified>
</cp:coreProperties>
</file>