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46812" w14:textId="77777777" w:rsidR="00520882" w:rsidRDefault="00DD4EA2" w:rsidP="001B3795">
      <w:pPr>
        <w:pStyle w:val="Title"/>
      </w:pPr>
      <w:r>
        <w:t>Monitor</w:t>
      </w:r>
      <w:r w:rsidR="00C056E9">
        <w:t xml:space="preserve"> mode</w:t>
      </w:r>
      <w:bookmarkStart w:id="0" w:name="_GoBack"/>
      <w:bookmarkEnd w:id="0"/>
    </w:p>
    <w:p w14:paraId="57A94278" w14:textId="77777777" w:rsidR="00542F56" w:rsidRDefault="00542F56" w:rsidP="00542F56"/>
    <w:p w14:paraId="1367DDD2" w14:textId="294E6665" w:rsidR="008C5DDC" w:rsidRDefault="003751C7" w:rsidP="00542F56">
      <w:r>
        <w:rPr>
          <w:noProof/>
        </w:rPr>
        <w:drawing>
          <wp:inline distT="0" distB="0" distL="0" distR="0" wp14:anchorId="3FBAFDDE" wp14:editId="37A66FAB">
            <wp:extent cx="5731510" cy="3515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48"/>
                    <a:stretch/>
                  </pic:blipFill>
                  <pic:spPr bwMode="auto">
                    <a:xfrm>
                      <a:off x="0" y="0"/>
                      <a:ext cx="5731510" cy="351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58E2B" w14:textId="77777777" w:rsidR="009E49E4" w:rsidRDefault="00C056E9" w:rsidP="00032123">
      <w:pPr>
        <w:pStyle w:val="Heading1"/>
      </w:pPr>
      <w:r>
        <w:t>Mode summary</w:t>
      </w:r>
    </w:p>
    <w:p w14:paraId="5A1BC908" w14:textId="01DFDFC9" w:rsidR="00C507D2" w:rsidRDefault="00146144" w:rsidP="00C507D2">
      <w:r>
        <w:t>Monitor mode is used once a baseline</w:t>
      </w:r>
      <w:r w:rsidR="00200474">
        <w:t xml:space="preserve"> (or set of baselines)</w:t>
      </w:r>
      <w:r>
        <w:t xml:space="preserve"> has been established in Baseline mode.  It allows the user to check deterioration of the equipment over time, so that the need and timescale for intervention can be established. </w:t>
      </w:r>
    </w:p>
    <w:p w14:paraId="76FC27B2" w14:textId="77777777" w:rsidR="00084609" w:rsidRDefault="00C056E9" w:rsidP="00084609">
      <w:pPr>
        <w:pStyle w:val="Heading1"/>
      </w:pPr>
      <w:r>
        <w:t>Operation</w:t>
      </w:r>
    </w:p>
    <w:p w14:paraId="428BD82B" w14:textId="52D1AA96" w:rsidR="00C507D2" w:rsidRDefault="00C507D2" w:rsidP="00C507D2">
      <w:r>
        <w:t xml:space="preserve">The user starts monitoring by selecting Monitor mode and then clicking Start.  The system will then continue </w:t>
      </w:r>
      <w:r w:rsidR="00D202A3">
        <w:t>taking measurements</w:t>
      </w:r>
      <w:r>
        <w:t xml:space="preserve"> until the user selects Stop, storing data according to the </w:t>
      </w:r>
      <w:r w:rsidR="00D202A3">
        <w:t>P</w:t>
      </w:r>
      <w:r>
        <w:t xml:space="preserve">roject </w:t>
      </w:r>
      <w:r w:rsidR="00D202A3">
        <w:t>S</w:t>
      </w:r>
      <w:r>
        <w:t>ettings form.</w:t>
      </w:r>
    </w:p>
    <w:p w14:paraId="508A2790" w14:textId="1D99E06A" w:rsidR="003C16A8" w:rsidRDefault="003C16A8" w:rsidP="00C507D2">
      <w:r>
        <w:rPr>
          <w:noProof/>
        </w:rPr>
        <w:drawing>
          <wp:inline distT="0" distB="0" distL="0" distR="0" wp14:anchorId="36131A1D" wp14:editId="6E91CECA">
            <wp:extent cx="1313322" cy="502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33" t="7727" r="15740" b="81421"/>
                    <a:stretch/>
                  </pic:blipFill>
                  <pic:spPr bwMode="auto">
                    <a:xfrm>
                      <a:off x="0" y="0"/>
                      <a:ext cx="1350806" cy="51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AE27E" w14:textId="0F89134D" w:rsidR="00AB282C" w:rsidRDefault="00700B4E" w:rsidP="00C507D2">
      <w:r>
        <w:t xml:space="preserve">With each new measurement, the system </w:t>
      </w:r>
      <w:r w:rsidR="00B1592E">
        <w:t>assesses the present condition level of the equipment</w:t>
      </w:r>
      <w:r w:rsidR="0012620D">
        <w:t xml:space="preserve">.  This condition level is then shown in the </w:t>
      </w:r>
      <w:r w:rsidR="00923808">
        <w:t xml:space="preserve">Present </w:t>
      </w:r>
      <w:r w:rsidR="0012620D">
        <w:t xml:space="preserve">traffic light in the Overall Alerts panel </w:t>
      </w:r>
      <w:r w:rsidR="00076573">
        <w:t>below the toolstrip.</w:t>
      </w:r>
      <w:r w:rsidR="00923808">
        <w:t xml:space="preserve">  </w:t>
      </w:r>
      <w:r w:rsidR="00C65960">
        <w:t>This indicator shows both level and confidence of condition level</w:t>
      </w:r>
      <w:r w:rsidR="007C7C65">
        <w:t>, so dark green indicates a high confidence that condition is normal</w:t>
      </w:r>
      <w:r w:rsidR="00387796">
        <w:t xml:space="preserve"> but light green indicates that condition is normal but with reduced confidence (typically as a result of </w:t>
      </w:r>
      <w:r w:rsidR="00F50FA4">
        <w:t xml:space="preserve">wide measurement variation).  Similarly, a warning condition is shown by light or dark orange </w:t>
      </w:r>
      <w:r w:rsidR="000B3087">
        <w:t xml:space="preserve">and alarm by pink or red.  So a red alert indicates a clear </w:t>
      </w:r>
      <w:r w:rsidR="00F944EC">
        <w:t>fault alarm with high confidence and should be investigated further.</w:t>
      </w:r>
      <w:r w:rsidR="00480A00">
        <w:t xml:space="preserve">  As the number of stored measurements increases, the system is able to predict the </w:t>
      </w:r>
      <w:r w:rsidR="00522BC9">
        <w:t xml:space="preserve">future condition level.  These predictions are shown </w:t>
      </w:r>
      <w:r w:rsidR="000C2ADD">
        <w:t>on</w:t>
      </w:r>
      <w:r w:rsidR="00522BC9">
        <w:t xml:space="preserve"> the </w:t>
      </w:r>
      <w:r w:rsidR="000C2ADD">
        <w:t>S (short term) and L (long term)</w:t>
      </w:r>
      <w:r w:rsidR="009949F4">
        <w:t xml:space="preserve"> traffic lights, which also show the time period for which the prediction is valid.</w:t>
      </w:r>
      <w:r w:rsidR="00B75963">
        <w:t xml:space="preserve">  A red long term indication gives a clear warning that </w:t>
      </w:r>
      <w:r w:rsidR="00A83393">
        <w:t xml:space="preserve">a fault is </w:t>
      </w:r>
      <w:r w:rsidR="00A83393">
        <w:lastRenderedPageBreak/>
        <w:t>predicted for this equipment as much as three months in advance, allowing preventive actions to be taken.</w:t>
      </w:r>
      <w:r w:rsidR="00DE0CD2">
        <w:t xml:space="preserve">  The Elect traffic light </w:t>
      </w:r>
      <w:r w:rsidR="006A5547">
        <w:t xml:space="preserve">shows electrical condition, where red indicates that </w:t>
      </w:r>
      <w:r w:rsidR="00E339BD">
        <w:t xml:space="preserve">an electrical measurement is abnormally high, orange indicates that </w:t>
      </w:r>
      <w:r w:rsidR="00A90483">
        <w:t>an electrical reading is higher than expected but not necessarily abnormal, and green indicates</w:t>
      </w:r>
      <w:r w:rsidR="00770973">
        <w:t xml:space="preserve"> normal operation.  Details of specific electrical alerts are shown in the </w:t>
      </w:r>
      <w:r w:rsidR="0060583A">
        <w:t>Electrical panel on the right hand side of the display.</w:t>
      </w:r>
    </w:p>
    <w:p w14:paraId="32FF8DA4" w14:textId="0CDA947C" w:rsidR="00C507D2" w:rsidRDefault="00C507D2" w:rsidP="00C507D2">
      <w:r>
        <w:t>Monitor mode can be used with the Frequency chart for detailed review of updating values, or with the Condition chart for a concise overview of developing condition:</w:t>
      </w:r>
    </w:p>
    <w:p w14:paraId="10E98AB2" w14:textId="6702AD4D" w:rsidR="00C507D2" w:rsidRDefault="007A1E3A" w:rsidP="00C507D2">
      <w:r>
        <w:rPr>
          <w:noProof/>
        </w:rPr>
        <w:drawing>
          <wp:inline distT="0" distB="0" distL="0" distR="0" wp14:anchorId="6CBF5769" wp14:editId="098B198F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9864" w14:textId="77777777" w:rsidR="009E49E4" w:rsidRDefault="00C507D2" w:rsidP="009E49E4">
      <w:r>
        <w:t>As trends develop during monitoring, the Trend chart can be used to review them over short and long terms:</w:t>
      </w:r>
    </w:p>
    <w:p w14:paraId="5F5A668C" w14:textId="6CFFED8E" w:rsidR="00770E19" w:rsidRDefault="006367FE" w:rsidP="00360CEC">
      <w:r>
        <w:rPr>
          <w:noProof/>
        </w:rPr>
        <w:lastRenderedPageBreak/>
        <w:drawing>
          <wp:inline distT="0" distB="0" distL="0" distR="0" wp14:anchorId="1835F073" wp14:editId="5A2F6771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28AB" w14:textId="42ADC0FE" w:rsidR="00360CEC" w:rsidRDefault="00AF272F" w:rsidP="00360CEC">
      <w:r>
        <w:t>Details</w:t>
      </w:r>
      <w:r w:rsidR="00C507D2">
        <w:t xml:space="preserve"> about individual faults</w:t>
      </w:r>
      <w:r>
        <w:t xml:space="preserve"> and recommended actions</w:t>
      </w:r>
      <w:r w:rsidR="00C507D2">
        <w:t xml:space="preserve"> can be selected by clicking on the information symbol</w:t>
      </w:r>
      <w:r>
        <w:t xml:space="preserve"> (question mark)</w:t>
      </w:r>
      <w:r w:rsidR="00C507D2">
        <w:t>:</w:t>
      </w:r>
    </w:p>
    <w:p w14:paraId="6772F2AC" w14:textId="52D3CB91" w:rsidR="00C507D2" w:rsidRDefault="009717E8" w:rsidP="00360CEC">
      <w:r>
        <w:rPr>
          <w:noProof/>
        </w:rPr>
        <w:drawing>
          <wp:inline distT="0" distB="0" distL="0" distR="0" wp14:anchorId="22356D11" wp14:editId="468B2916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8BBE" w14:textId="77777777" w:rsidR="00686134" w:rsidRDefault="00686134" w:rsidP="00686134">
      <w:r>
        <w:t>Trends can be examined in greater detail by selected the Trend analysis chart:</w:t>
      </w:r>
    </w:p>
    <w:p w14:paraId="32AA7364" w14:textId="77777777" w:rsidR="00686134" w:rsidRDefault="00686134" w:rsidP="00084609">
      <w:pPr>
        <w:rPr>
          <w:noProof/>
        </w:rPr>
      </w:pPr>
    </w:p>
    <w:p w14:paraId="5C015353" w14:textId="3A2EDB93" w:rsidR="00104573" w:rsidRPr="00084609" w:rsidRDefault="00686134" w:rsidP="00084609">
      <w:r>
        <w:rPr>
          <w:noProof/>
        </w:rPr>
        <w:lastRenderedPageBreak/>
        <w:drawing>
          <wp:inline distT="0" distB="0" distL="0" distR="0" wp14:anchorId="05237DA1" wp14:editId="5F0411E1">
            <wp:extent cx="5731510" cy="358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573" w:rsidRPr="000846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66614"/>
    <w:rsid w:val="00005B0E"/>
    <w:rsid w:val="00032123"/>
    <w:rsid w:val="00045E2E"/>
    <w:rsid w:val="00076573"/>
    <w:rsid w:val="00084609"/>
    <w:rsid w:val="000B3087"/>
    <w:rsid w:val="000B616E"/>
    <w:rsid w:val="000C2ADD"/>
    <w:rsid w:val="000D18D3"/>
    <w:rsid w:val="000D7119"/>
    <w:rsid w:val="000F67C2"/>
    <w:rsid w:val="00104573"/>
    <w:rsid w:val="0012620D"/>
    <w:rsid w:val="00131B9F"/>
    <w:rsid w:val="00146144"/>
    <w:rsid w:val="00166F16"/>
    <w:rsid w:val="00171BD1"/>
    <w:rsid w:val="001B3795"/>
    <w:rsid w:val="00200474"/>
    <w:rsid w:val="00204B2C"/>
    <w:rsid w:val="00205318"/>
    <w:rsid w:val="002E0960"/>
    <w:rsid w:val="003024A4"/>
    <w:rsid w:val="00360CEC"/>
    <w:rsid w:val="003751C7"/>
    <w:rsid w:val="00387796"/>
    <w:rsid w:val="003C16A8"/>
    <w:rsid w:val="003F1D52"/>
    <w:rsid w:val="0046255C"/>
    <w:rsid w:val="00475A73"/>
    <w:rsid w:val="00480A00"/>
    <w:rsid w:val="00483154"/>
    <w:rsid w:val="00490A31"/>
    <w:rsid w:val="00520882"/>
    <w:rsid w:val="0052099D"/>
    <w:rsid w:val="00522BC9"/>
    <w:rsid w:val="00524A6C"/>
    <w:rsid w:val="00542F56"/>
    <w:rsid w:val="00556DAD"/>
    <w:rsid w:val="005872FA"/>
    <w:rsid w:val="005B2DD4"/>
    <w:rsid w:val="0060583A"/>
    <w:rsid w:val="006355E6"/>
    <w:rsid w:val="006367FE"/>
    <w:rsid w:val="00657757"/>
    <w:rsid w:val="00663091"/>
    <w:rsid w:val="00686134"/>
    <w:rsid w:val="006A5547"/>
    <w:rsid w:val="006D77CA"/>
    <w:rsid w:val="006F16CA"/>
    <w:rsid w:val="00700B4E"/>
    <w:rsid w:val="0071475A"/>
    <w:rsid w:val="0074160B"/>
    <w:rsid w:val="00770973"/>
    <w:rsid w:val="00770E19"/>
    <w:rsid w:val="0079635A"/>
    <w:rsid w:val="007A1E3A"/>
    <w:rsid w:val="007A69C4"/>
    <w:rsid w:val="007B4E0F"/>
    <w:rsid w:val="007B718F"/>
    <w:rsid w:val="007C7C65"/>
    <w:rsid w:val="0084337D"/>
    <w:rsid w:val="0084516A"/>
    <w:rsid w:val="00855622"/>
    <w:rsid w:val="008612C8"/>
    <w:rsid w:val="008C5DDC"/>
    <w:rsid w:val="008D0436"/>
    <w:rsid w:val="008D4C84"/>
    <w:rsid w:val="00923808"/>
    <w:rsid w:val="0094023A"/>
    <w:rsid w:val="009717E8"/>
    <w:rsid w:val="009949F4"/>
    <w:rsid w:val="009962B5"/>
    <w:rsid w:val="0099760C"/>
    <w:rsid w:val="009A51DE"/>
    <w:rsid w:val="009B71A8"/>
    <w:rsid w:val="009E49E4"/>
    <w:rsid w:val="00A37A3E"/>
    <w:rsid w:val="00A454F5"/>
    <w:rsid w:val="00A54884"/>
    <w:rsid w:val="00A7299F"/>
    <w:rsid w:val="00A8164F"/>
    <w:rsid w:val="00A83393"/>
    <w:rsid w:val="00A84F28"/>
    <w:rsid w:val="00A90483"/>
    <w:rsid w:val="00AB061B"/>
    <w:rsid w:val="00AB282C"/>
    <w:rsid w:val="00AC2D4C"/>
    <w:rsid w:val="00AF1428"/>
    <w:rsid w:val="00AF272F"/>
    <w:rsid w:val="00B1592E"/>
    <w:rsid w:val="00B276A7"/>
    <w:rsid w:val="00B478B8"/>
    <w:rsid w:val="00B66AF8"/>
    <w:rsid w:val="00B67530"/>
    <w:rsid w:val="00B75963"/>
    <w:rsid w:val="00BA460C"/>
    <w:rsid w:val="00BE7659"/>
    <w:rsid w:val="00C056E9"/>
    <w:rsid w:val="00C37C5B"/>
    <w:rsid w:val="00C507D2"/>
    <w:rsid w:val="00C642BE"/>
    <w:rsid w:val="00C65960"/>
    <w:rsid w:val="00C66614"/>
    <w:rsid w:val="00CA66C4"/>
    <w:rsid w:val="00CD3FAF"/>
    <w:rsid w:val="00CF32E5"/>
    <w:rsid w:val="00D202A3"/>
    <w:rsid w:val="00D60E5A"/>
    <w:rsid w:val="00D81EDB"/>
    <w:rsid w:val="00DD4EA2"/>
    <w:rsid w:val="00DE0CD2"/>
    <w:rsid w:val="00DF0F52"/>
    <w:rsid w:val="00E339BD"/>
    <w:rsid w:val="00E60980"/>
    <w:rsid w:val="00E87AB5"/>
    <w:rsid w:val="00ED51BA"/>
    <w:rsid w:val="00F50FA4"/>
    <w:rsid w:val="00F77377"/>
    <w:rsid w:val="00F9353B"/>
    <w:rsid w:val="00F944EC"/>
    <w:rsid w:val="00FB0147"/>
    <w:rsid w:val="00FC05A8"/>
    <w:rsid w:val="00FF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17A852"/>
  <w14:defaultImageDpi w14:val="0"/>
  <w15:docId w15:val="{83F061F2-F6DB-469A-9D8D-71E10B8DE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4609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2F56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084609"/>
    <w:rPr>
      <w:rFonts w:asciiTheme="majorHAnsi" w:eastAsiaTheme="majorEastAsia" w:hAnsiTheme="majorHAnsi" w:cs="Times New Roman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542F56"/>
    <w:rPr>
      <w:rFonts w:asciiTheme="majorHAnsi" w:eastAsiaTheme="majorEastAsia" w:hAnsiTheme="majorHAnsi" w:cs="Times New Roman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84609"/>
    <w:pPr>
      <w:spacing w:after="0"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locked/>
    <w:rsid w:val="00084609"/>
    <w:rPr>
      <w:rFonts w:asciiTheme="majorHAnsi" w:eastAsiaTheme="majorEastAsia" w:hAnsiTheme="majorHAnsi" w:cs="Times New Roman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20882"/>
    <w:rPr>
      <w:rFonts w:cs="Times New Roman"/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520882"/>
    <w:rPr>
      <w:rFonts w:cs="Times New Roman"/>
      <w:color w:val="2B579A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9E49E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9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9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Bates</dc:creator>
  <cp:keywords/>
  <dc:description/>
  <cp:lastModifiedBy>Andy Bates</cp:lastModifiedBy>
  <cp:revision>43</cp:revision>
  <dcterms:created xsi:type="dcterms:W3CDTF">2018-02-14T14:43:00Z</dcterms:created>
  <dcterms:modified xsi:type="dcterms:W3CDTF">2019-07-22T17:21:00Z</dcterms:modified>
</cp:coreProperties>
</file>