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A4E" w:rsidRDefault="00715A4E" w:rsidP="00715A4E">
      <w:pPr>
        <w:jc w:val="both"/>
      </w:pPr>
      <w:r>
        <w:object w:dxaOrig="4465" w:dyaOrig="18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2pt;height:54pt" o:ole="">
            <v:imagedata r:id="rId5" o:title="" croptop="13523f" cropbottom="12678f" cropleft="5812f" cropright="41934f"/>
          </v:shape>
          <o:OLEObject Type="Embed" ProgID="SolidEdge.DraftDocument" ShapeID="_x0000_i1025" DrawAspect="Content" ObjectID="_1580130514" r:id="rId6"/>
        </w:object>
      </w:r>
      <w:r>
        <w:t>CAUTION: Refer to this manual before using the Faraday P100</w:t>
      </w:r>
      <w:r w:rsidR="00541972">
        <w:t xml:space="preserve"> Series</w:t>
      </w:r>
      <w:r>
        <w:t xml:space="preserve"> unit. </w:t>
      </w:r>
    </w:p>
    <w:p w:rsidR="00715A4E" w:rsidRDefault="00715A4E" w:rsidP="00715A4E">
      <w:pPr>
        <w:jc w:val="both"/>
      </w:pPr>
      <w:r>
        <w:object w:dxaOrig="4465" w:dyaOrig="1861">
          <v:shape id="_x0000_i1026" type="#_x0000_t75" style="width:58.2pt;height:54pt" o:ole="">
            <v:imagedata r:id="rId7" o:title="" croptop="14790f" cropbottom="13100f" cropleft="6517f" cropright="42110f"/>
          </v:shape>
          <o:OLEObject Type="Embed" ProgID="SolidEdge.DraftDocument" ShapeID="_x0000_i1026" DrawAspect="Content" ObjectID="_1580130515" r:id="rId8"/>
        </w:object>
      </w:r>
      <w:r>
        <w:t xml:space="preserve">HAZARDOUS VOLTAGE: Risk of electric shock if safety measures specified in this document are not considered. </w:t>
      </w:r>
    </w:p>
    <w:p w:rsidR="00715A4E" w:rsidRDefault="00715A4E" w:rsidP="00715A4E">
      <w:pPr>
        <w:jc w:val="both"/>
      </w:pPr>
      <w:r>
        <w:t>Other Equipment Markings:</w:t>
      </w:r>
      <w:bookmarkStart w:id="0" w:name="_GoBack"/>
      <w:bookmarkEnd w:id="0"/>
    </w:p>
    <w:p w:rsidR="00715A4E" w:rsidRDefault="00715A4E" w:rsidP="00715A4E">
      <w:pPr>
        <w:jc w:val="both"/>
      </w:pPr>
      <w:r>
        <w:t xml:space="preserve">~ Equipment intended for Alternating Current (AC) only. </w:t>
      </w:r>
    </w:p>
    <w:p w:rsidR="00715A4E" w:rsidRDefault="00715A4E" w:rsidP="00715A4E">
      <w:pPr>
        <w:jc w:val="both"/>
      </w:pPr>
      <w:r>
        <w:t>3~ Equipment intended for Alternating Current (AC) only, and to be connected to three phase systems.</w:t>
      </w:r>
    </w:p>
    <w:p w:rsidR="00715A4E" w:rsidRDefault="00715A4E" w:rsidP="00715A4E">
      <w:pPr>
        <w:jc w:val="both"/>
      </w:pPr>
      <w:r>
        <w:object w:dxaOrig="4465" w:dyaOrig="2425">
          <v:shape id="_x0000_i1027" type="#_x0000_t75" style="width:53.4pt;height:1in" o:ole="">
            <v:imagedata r:id="rId9" o:title="" croptop="11351f" cropbottom="10053f" cropleft="6341f" cropright="41934f"/>
          </v:shape>
          <o:OLEObject Type="Embed" ProgID="SolidEdge.DraftDocument" ShapeID="_x0000_i1027" DrawAspect="Content" ObjectID="_1580130516" r:id="rId10"/>
        </w:object>
      </w:r>
      <w:r w:rsidRPr="00D54AC6">
        <w:rPr>
          <w:b/>
        </w:rPr>
        <w:t>EU Customers:</w:t>
      </w:r>
      <w:r>
        <w:t xml:space="preserve"> At the end of the product life cycle, Faraday P100 unit must be disposed of according to local laws and regulations.</w:t>
      </w:r>
    </w:p>
    <w:p w:rsidR="00715A4E" w:rsidRDefault="00715A4E" w:rsidP="00715A4E">
      <w:pPr>
        <w:jc w:val="both"/>
      </w:pPr>
      <w:r>
        <w:object w:dxaOrig="4465" w:dyaOrig="1921">
          <v:shape id="_x0000_i1028" type="#_x0000_t75" style="width:64.8pt;height:48pt" o:ole="">
            <v:imagedata r:id="rId11" o:title="" croptop="13510f" cropbottom="13919f" cropleft="6165f" cropright="37003f"/>
          </v:shape>
          <o:OLEObject Type="Embed" ProgID="SolidEdge.DraftDocument" ShapeID="_x0000_i1028" DrawAspect="Content" ObjectID="_1580130517" r:id="rId12"/>
        </w:object>
      </w:r>
      <w:r w:rsidRPr="00D54AC6">
        <w:rPr>
          <w:b/>
        </w:rPr>
        <w:t>CE Compliance:</w:t>
      </w:r>
      <w:r>
        <w:t xml:space="preserve"> This product meets the essential requirements of applicable European Directives, as follows:</w:t>
      </w:r>
    </w:p>
    <w:p w:rsidR="00715A4E" w:rsidRDefault="00715A4E" w:rsidP="00715A4E">
      <w:pPr>
        <w:pStyle w:val="ListParagraph"/>
        <w:numPr>
          <w:ilvl w:val="0"/>
          <w:numId w:val="1"/>
        </w:numPr>
        <w:jc w:val="both"/>
      </w:pPr>
      <w:r>
        <w:t>2014/35/EU; Low-Voltage Directive (safety)</w:t>
      </w:r>
    </w:p>
    <w:p w:rsidR="00715A4E" w:rsidRDefault="00715A4E" w:rsidP="00715A4E">
      <w:pPr>
        <w:pStyle w:val="ListParagraph"/>
        <w:numPr>
          <w:ilvl w:val="0"/>
          <w:numId w:val="1"/>
        </w:numPr>
        <w:jc w:val="both"/>
      </w:pPr>
      <w:r>
        <w:t>2014/30/EU; Electromagnetic Compatibility Directive (EMC)</w:t>
      </w:r>
    </w:p>
    <w:p w:rsidR="00715A4E" w:rsidRDefault="00715A4E" w:rsidP="00715A4E">
      <w:pPr>
        <w:pStyle w:val="ListParagraph"/>
        <w:numPr>
          <w:ilvl w:val="0"/>
          <w:numId w:val="1"/>
        </w:numPr>
        <w:jc w:val="both"/>
      </w:pPr>
      <w:r>
        <w:t>2011/65/EU; Restriction of Hazardous Substances (RoHS)</w:t>
      </w:r>
    </w:p>
    <w:p w:rsidR="00715A4E" w:rsidRDefault="00715A4E" w:rsidP="00715A4E">
      <w:pPr>
        <w:jc w:val="both"/>
      </w:pPr>
    </w:p>
    <w:p w:rsidR="009572FD" w:rsidRDefault="009572FD"/>
    <w:sectPr w:rsidR="009572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B42A7"/>
    <w:multiLevelType w:val="hybridMultilevel"/>
    <w:tmpl w:val="7C9282CC"/>
    <w:lvl w:ilvl="0" w:tplc="23C6E4C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5A4E"/>
    <w:rsid w:val="00541972"/>
    <w:rsid w:val="00715A4E"/>
    <w:rsid w:val="009572FD"/>
    <w:rsid w:val="00BA68F2"/>
    <w:rsid w:val="00D54AC6"/>
    <w:rsid w:val="00F6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7EAF4C"/>
  <w14:defaultImageDpi w14:val="0"/>
  <w15:docId w15:val="{06B70660-1FCE-42DB-94DE-3FB5CA5F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A4E"/>
    <w:pPr>
      <w:ind w:left="720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Bates</dc:creator>
  <cp:keywords/>
  <dc:description/>
  <cp:lastModifiedBy>Myles Bannister</cp:lastModifiedBy>
  <cp:revision>3</cp:revision>
  <cp:lastPrinted>2017-10-20T10:21:00Z</cp:lastPrinted>
  <dcterms:created xsi:type="dcterms:W3CDTF">2017-11-06T21:28:00Z</dcterms:created>
  <dcterms:modified xsi:type="dcterms:W3CDTF">2018-02-14T16:12:00Z</dcterms:modified>
</cp:coreProperties>
</file>