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4"/>
        </w:rPr>
        <w:t>标书全流程管理平台开发可行性报告</w:t>
      </w:r>
    </w:p>
    <w:p>
      <w:pPr>
        <w:pStyle w:val="TitleCN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36"/>
        </w:rPr>
        <w:t>（AI-native 2.0 适配版）</w:t>
      </w:r>
    </w:p>
    <w:p>
      <w:pPr>
        <w:pStyle w:val="SubtitleCN"/>
        <w:jc w:val="center"/>
      </w:pPr>
      <w:r>
        <w:rPr>
          <w:rFonts w:ascii="Noto Sans CJK SC" w:hAnsi="Noto Sans CJK SC" w:eastAsia="Noto Sans CJK SC" w:cs="Noto Sans CJK SC"/>
          <w:color w:val="5B6573"/>
          <w:sz w:val="22"/>
        </w:rPr>
        <w:t>面向企业投标业务的 AI 原生生产平台方案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5556"/>
      </w:tblGrid>
      <w:tr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1"/>
              </w:rPr>
              <w:t>报告版本</w:t>
            </w:r>
          </w:p>
        </w:tc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21"/>
              </w:rPr>
              <w:t>AI-native 2.0 正式文档版</w:t>
            </w:r>
          </w:p>
        </w:tc>
      </w:tr>
      <w:tr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1"/>
              </w:rPr>
              <w:t>文档属性</w:t>
            </w:r>
          </w:p>
        </w:tc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21"/>
              </w:rPr>
              <w:t>可行性研究 / 立项论证 / 架构规划</w:t>
            </w:r>
          </w:p>
        </w:tc>
      </w:tr>
      <w:tr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1"/>
              </w:rPr>
              <w:t>编制角色</w:t>
            </w:r>
          </w:p>
        </w:tc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21"/>
              </w:rPr>
              <w:t>售前总监 / 解决方案负责人</w:t>
            </w:r>
          </w:p>
        </w:tc>
      </w:tr>
      <w:tr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1"/>
              </w:rPr>
              <w:t>适用对象</w:t>
            </w:r>
          </w:p>
        </w:tc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21"/>
              </w:rPr>
              <w:t>管理层、产品负责人、技术架构师、投标业务负责人</w:t>
            </w:r>
          </w:p>
        </w:tc>
      </w:tr>
      <w:tr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1"/>
              </w:rPr>
              <w:t>编制日期</w:t>
            </w:r>
          </w:p>
        </w:tc>
        <w:tc>
          <w:tcPr>
            <w:tcW w:type="dxa" w:w="464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21"/>
              </w:rPr>
              <w:t>2026 年 3 月</w:t>
            </w:r>
          </w:p>
        </w:tc>
      </w:tr>
    </w:tbl>
    <w:p/>
    <w:p>
      <w:pPr>
        <w:pStyle w:val="Callout"/>
        <w:jc w:val="center"/>
      </w:pPr>
      <w:r>
        <w:rPr>
          <w:rFonts w:ascii="Noto Sans CJK SC" w:hAnsi="Noto Sans CJK SC" w:eastAsia="Noto Sans CJK SC" w:cs="Noto Sans CJK SC"/>
          <w:color w:val="404040"/>
          <w:sz w:val="20"/>
        </w:rPr>
        <w:t>说明：本报告在原始优化版业务骨架基础上，按 AI-native 2.0 架构进行适配升级，重点补齐文档智能接入、知识检索增强、AI 运行治理、保密管控与生产级部署能力。</w:t>
      </w:r>
    </w:p>
    <w:p>
      <w:r>
        <w:br w:type="page"/>
      </w:r>
    </w:p>
    <w:p>
      <w:pPr>
        <w:pStyle w:val="Heading1CN"/>
        <w:pBdr>
          <w:bottom w:val="single" w:sz="8" w:space="1" w:color="D9E2F3"/>
        </w:pBdr>
      </w:pPr>
      <w:r>
        <w:t>目 录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一、执行摘要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1.1 项目结论 / 1.2 建设收益概览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二、项目背景与建设必要性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2.1 项目背景 / 2.2 立项目的 / 2.3 建设必要性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三、建设目标与总体原则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3.1 建设目标 / 3.2 总体原则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四、现状痛点与需求分析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4.1 现状痛点 / 4.2 核心需求范围 / 4.3 建设边界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五、产品定位与总体架构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5.1 产品定位 / 5.2 总体分层架构 / 5.3 核心闭环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六、核心功能模块设计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6.1-6.9 九大核心模块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七、技术架构与关键技术路线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7.1 推荐技术栈 / 7.2 关键技术路线 / 7.3 部署架构建议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八、数据架构与安全保密设计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8.1 数据架构 / 8.2 管理原则 / 8.3 安全保密设计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九、研发实施规划与里程碑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9.1 实施策略 / 9.2 阶段划分 / 9.3 里程碑计划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十、研发团队配置与职责建议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10.1 配置原则 / 10.2 建议角色 / 10.3 团队配置建议表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十一、成本预算测算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11.1 预算口径 / 11.2 预算结构 / 11.3 成本预算测算表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十二、风险台账与应对措施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12.1 风险管理原则 / 12.2 风险台账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十三、效益评估与结论建议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13.1 效益评估 / 13.2 结论建议</w:t>
      </w:r>
    </w:p>
    <w:p>
      <w:pPr>
        <w:pStyle w:val="BodyCN"/>
        <w:spacing w:after="60"/>
        <w:ind w:left="113" w:firstLine="0"/>
      </w:pPr>
      <w:r>
        <w:rPr>
          <w:rFonts w:ascii="Noto Sans CJK SC" w:hAnsi="Noto Sans CJK SC" w:eastAsia="Noto Sans CJK SC" w:cs="Noto Sans CJK SC"/>
          <w:b/>
          <w:color w:val="244062"/>
          <w:sz w:val="21"/>
        </w:rPr>
        <w:t>结论页</w:t>
      </w:r>
      <w:r>
        <w:rPr>
          <w:rFonts w:ascii="Noto Sans CJK SC" w:hAnsi="Noto Sans CJK SC" w:eastAsia="Noto Sans CJK SC" w:cs="Noto Sans CJK SC"/>
          <w:sz w:val="21"/>
        </w:rPr>
        <w:t xml:space="preserve">  </w:t>
      </w:r>
      <w:r>
        <w:rPr>
          <w:rFonts w:ascii="Noto Sans CJK SC" w:hAnsi="Noto Sans CJK SC" w:eastAsia="Noto Sans CJK SC" w:cs="Noto Sans CJK SC"/>
          <w:color w:val="4B5563"/>
          <w:sz w:val="20"/>
        </w:rPr>
        <w:t>建议立项结论 / 建议审批意见</w:t>
      </w:r>
    </w:p>
    <w:p>
      <w:r>
        <w:br w:type="page"/>
      </w:r>
    </w:p>
    <w:p>
      <w:pPr>
        <w:pStyle w:val="Heading1CN"/>
        <w:pBdr>
          <w:bottom w:val="single" w:sz="8" w:space="1" w:color="D9E2F3"/>
        </w:pBdr>
      </w:pPr>
      <w:r>
        <w:t>一、执行摘要</w:t>
      </w:r>
    </w:p>
    <w:p>
      <w:pPr>
        <w:pStyle w:val="Heading2CN"/>
      </w:pPr>
      <w:r>
        <w:t>1.1 项目结论</w:t>
      </w:r>
    </w:p>
    <w:p>
      <w:pPr>
        <w:pStyle w:val="BodyCN"/>
        <w:spacing w:line="348" w:lineRule="auto" w:after="80"/>
        <w:ind w:firstLine="420"/>
      </w:pPr>
      <w:r>
        <w:t>本项目拟建设“标书全流程管理平台”，定位为面向企业投标业务的 AI-native 生产平台，而非单一文档编辑工具。平台围绕招标文件接入、结构化解读、任务拆解、知识召回、智能编标、智能审校、多级审核、导出适配、投标过程管理与知识反哺构建全流程闭环，目标是以平台化方式解决投标业务中的高频重复劳动、质量失控、协同低效、资料分散和保密管控薄弱等问题。</w:t>
      </w:r>
    </w:p>
    <w:p>
      <w:pPr>
        <w:pStyle w:val="BodyCN"/>
        <w:spacing w:line="348" w:lineRule="auto" w:after="80"/>
        <w:ind w:firstLine="420"/>
      </w:pPr>
      <w:r>
        <w:t>综合业务价值、技术可行性、组织支撑和实施路径判断，本项目具备明确的建设必要性与较强的落地可行性。建议按照“核心闭环优先、AI 分阶段增强、治理能力同步建设”的策略立项推进，首版优先聚焦文档智能接入、投标响应矩阵、智能编标、智能审校、多级审核、企业知识中台和保密管控七项核心能力。</w:t>
      </w:r>
    </w:p>
    <w:p>
      <w:pPr>
        <w:pStyle w:val="Heading2CN"/>
      </w:pPr>
      <w:r>
        <w:t>1.2 建设收益概览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效率收益：通过结构化抽取、知识复用、模板标准化和首稿辅助生成，预计可显著缩短资料归集与首稿形成周期，提高项目并行承接能力。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质量收益：通过“规则校验 + 检索增强 + 智能审校 + 人工复核 + 多级审核”组合机制，降低漏项、错项、格式错误、响应不完整和承诺失真风险。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管理收益：通过任务分发、版本对比、批注闭环、审核留痕和项目驾驶舱，提升跨部门协同效率与管理可视化水平。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资产收益：通过知识对象化、版本化和权限化管理，把历史标书、资质资料、案例材料、审改意见和复盘结论转化为企业可持续复用资产。</w:t>
      </w:r>
    </w:p>
    <w:p>
      <w:pPr>
        <w:pStyle w:val="Heading1CN"/>
        <w:pBdr>
          <w:bottom w:val="single" w:sz="8" w:space="1" w:color="D9E2F3"/>
        </w:pBdr>
      </w:pPr>
      <w:r>
        <w:t>二、项目背景与建设必要性</w:t>
      </w:r>
    </w:p>
    <w:p>
      <w:pPr>
        <w:pStyle w:val="Heading2CN"/>
      </w:pPr>
      <w:r>
        <w:t>2.1 项目背景</w:t>
      </w:r>
    </w:p>
    <w:p>
      <w:pPr>
        <w:pStyle w:val="BodyCN"/>
        <w:spacing w:line="348" w:lineRule="auto" w:after="80"/>
        <w:ind w:firstLine="420"/>
      </w:pPr>
      <w:r>
        <w:t>当前招投标竞争已经从“资料齐全、按时提交”的粗放阶段，进入“解读精准、响应完整、过程可控、输出稳定、可追溯复用”的精细化阶段。标书不再只是一次性文档，而是企业业务理解、解决方案能力、项目经验、资质储备、组织协同和风控水平的集中体现。</w:t>
      </w:r>
    </w:p>
    <w:p>
      <w:pPr>
        <w:pStyle w:val="BodyCN"/>
        <w:spacing w:line="348" w:lineRule="auto" w:after="80"/>
        <w:ind w:firstLine="420"/>
      </w:pPr>
      <w:r>
        <w:t>结合公司当前投标作业现状，现有工作模式仍以人工经验和分散协同为主：招标文件解读高度依赖个人能力，关键要求提取和传递过程容易失真；模板和历史内容未形成统一复用体系；审核链条缺乏系统闭环；项目资料归档分散、知识沉淀不足；高密文档的权限控制与导出留痕尚未形成完整体系。上述问题直接影响投标效率、输出质量、废标风险和组织能力沉淀。</w:t>
      </w:r>
    </w:p>
    <w:p>
      <w:pPr>
        <w:pStyle w:val="Heading2CN"/>
      </w:pPr>
      <w:r>
        <w:t>2.2 立项目的</w:t>
      </w:r>
    </w:p>
    <w:p>
      <w:pPr>
        <w:pStyle w:val="BodyCN"/>
        <w:spacing w:line="348" w:lineRule="auto" w:after="80"/>
        <w:ind w:firstLine="420"/>
      </w:pPr>
      <w:r>
        <w:t>本项目立项目的不是建设单一的“标书管理工具”，而是建设一套支撑企业投标业务持续运转的生产平台。一方面，通过 AI 与流程体系结合，提高解读、编制、审校和审核效率；另一方面，通过知识中台、审计留痕和保密管控，把投标过程从个人经验驱动升级为平台驱动和资产驱动。</w:t>
      </w:r>
    </w:p>
    <w:p>
      <w:pPr>
        <w:pStyle w:val="Heading2CN"/>
      </w:pPr>
      <w:r>
        <w:t>2.3 建设必要性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业务必要性：投标业务高频、时限紧、责任重，且对资料完整性、响应精准性和保密性要求极高。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管理必要性：现有流程依赖人为推动，审核责任界面模糊，版本管理和复盘分析抓手不足。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技术必要性：AI 已可在文档解析、知识检索、首稿辅助、审校提醒等环节提供实际效率收益，但必须在治理框架内落地，才能形成稳定生产能力。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战略必要性：通过平台化建设，可逐步形成企业投标知识中台和经营分析能力，为后续 CRM、项目系统、经营决策平台衔接奠定底座。</w:t>
      </w:r>
    </w:p>
    <w:p>
      <w:pPr>
        <w:pStyle w:val="Heading1CN"/>
        <w:pBdr>
          <w:bottom w:val="single" w:sz="8" w:space="1" w:color="D9E2F3"/>
        </w:pBdr>
      </w:pPr>
      <w:r>
        <w:t>三、建设目标与总体原则</w:t>
      </w:r>
    </w:p>
    <w:p>
      <w:pPr>
        <w:pStyle w:val="Heading2CN"/>
      </w:pPr>
      <w:r>
        <w:t>3.1 建设目标</w:t>
      </w:r>
    </w:p>
    <w:p>
      <w:pPr>
        <w:pStyle w:val="BodyCN"/>
        <w:spacing w:line="348" w:lineRule="auto" w:after="80"/>
        <w:ind w:firstLine="420"/>
      </w:pPr>
      <w:r>
        <w:t>建立统一的招投标项目工作台，实现项目、文件、任务、流程、审核和导出的统一承载。</w:t>
      </w:r>
    </w:p>
    <w:p>
      <w:pPr>
        <w:pStyle w:val="BodyCN"/>
        <w:spacing w:line="348" w:lineRule="auto" w:after="80"/>
        <w:ind w:firstLine="420"/>
      </w:pPr>
      <w:r>
        <w:t>建立文档智能接入与结构化解读能力，自动提取时间节点、资格条件、评分标准、技术参数和商务条款。</w:t>
      </w:r>
    </w:p>
    <w:p>
      <w:pPr>
        <w:pStyle w:val="BodyCN"/>
        <w:spacing w:line="348" w:lineRule="auto" w:after="80"/>
        <w:ind w:firstLine="420"/>
      </w:pPr>
      <w:r>
        <w:t>建立企业投标知识中台，实现历史标书、资质、案例、参数和复盘资料的结构化入库与快速检索复用。</w:t>
      </w:r>
    </w:p>
    <w:p>
      <w:pPr>
        <w:pStyle w:val="BodyCN"/>
        <w:spacing w:line="348" w:lineRule="auto" w:after="80"/>
        <w:ind w:firstLine="420"/>
      </w:pPr>
      <w:r>
        <w:t>建立智能编标与智能审校能力，把 AI 作为受控的辅助生产力嵌入业务流程。</w:t>
      </w:r>
    </w:p>
    <w:p>
      <w:pPr>
        <w:pStyle w:val="BodyCN"/>
        <w:spacing w:line="348" w:lineRule="auto" w:after="80"/>
        <w:ind w:firstLine="420"/>
      </w:pPr>
      <w:r>
        <w:t>建立多级审核、签发和保密管控体系，实现全过程可追溯、可审计、可复核。</w:t>
      </w:r>
    </w:p>
    <w:p>
      <w:pPr>
        <w:pStyle w:val="Heading2CN"/>
      </w:pPr>
      <w:r>
        <w:t>3.2 总体原则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先结构化，再生成：优先做识别、抽取、归档、校验与引用，避免一上来就无边界生成。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检索优先，生成受控：资质、案例、参数、承诺类内容优先检索引用，生成结果需可追溯、可复核。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流程嵌入，责任闭环：AI 输出只是草稿和建议，不直接替代责任签发。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本地部署优先，安全治理同步：把保密、权限、审计、留痕和环境隔离纳入首版架构，而不是上线后补丁式追加。</w:t>
      </w:r>
    </w:p>
    <w:p>
      <w:pPr>
        <w:pStyle w:val="Heading1CN"/>
        <w:pBdr>
          <w:bottom w:val="single" w:sz="8" w:space="1" w:color="D9E2F3"/>
        </w:pBdr>
      </w:pPr>
      <w:r>
        <w:t>四、现状痛点与需求分析</w:t>
      </w:r>
    </w:p>
    <w:p>
      <w:pPr>
        <w:pStyle w:val="Heading2CN"/>
      </w:pPr>
      <w:r>
        <w:t>4.1 现状痛点</w:t>
      </w:r>
    </w:p>
    <w:p>
      <w:pPr>
        <w:pStyle w:val="BodyCN"/>
        <w:spacing w:line="348" w:lineRule="auto" w:after="80"/>
        <w:ind w:firstLine="420"/>
      </w:pPr>
      <w:r>
        <w:t>招标文件解读依赖人工经验，关键信息容易遗漏，且不同人员理解口径不一致。</w:t>
      </w:r>
    </w:p>
    <w:p>
      <w:pPr>
        <w:pStyle w:val="BodyCN"/>
        <w:spacing w:line="348" w:lineRule="auto" w:after="80"/>
        <w:ind w:firstLine="420"/>
      </w:pPr>
      <w:r>
        <w:t>标书模板、资料和历史内容分散，重复写、重复改、重复校问题突出。</w:t>
      </w:r>
    </w:p>
    <w:p>
      <w:pPr>
        <w:pStyle w:val="BodyCN"/>
        <w:spacing w:line="348" w:lineRule="auto" w:after="80"/>
        <w:ind w:firstLine="420"/>
      </w:pPr>
      <w:r>
        <w:t>审核链路缺少标准化闭环，问题退回、整改和复核追踪不充分。</w:t>
      </w:r>
    </w:p>
    <w:p>
      <w:pPr>
        <w:pStyle w:val="BodyCN"/>
        <w:spacing w:line="348" w:lineRule="auto" w:after="80"/>
        <w:ind w:firstLine="420"/>
      </w:pPr>
      <w:r>
        <w:t>技术、商务、法务、财务和管理层之间的协同仍以线下或碎片化消息为主，信息传递效率低且容易失真。</w:t>
      </w:r>
    </w:p>
    <w:p>
      <w:pPr>
        <w:pStyle w:val="BodyCN"/>
        <w:spacing w:line="348" w:lineRule="auto" w:after="80"/>
        <w:ind w:firstLine="420"/>
      </w:pPr>
      <w:r>
        <w:t>高密文档缺少统一的分级、导出审批、水印、外发控制和责任追踪机制。</w:t>
      </w:r>
    </w:p>
    <w:p>
      <w:pPr>
        <w:pStyle w:val="Heading2CN"/>
      </w:pPr>
      <w:r>
        <w:t>4.2 核心需求范围</w:t>
      </w:r>
    </w:p>
    <w:p>
      <w:pPr>
        <w:pStyle w:val="BodyCN"/>
        <w:spacing w:line="348" w:lineRule="auto" w:after="80"/>
        <w:ind w:firstLine="420"/>
      </w:pPr>
      <w:r>
        <w:t>文档智能接入与解读、投标响应矩阵、智能编标、智能审校、多级审核、企业知识中台、安全与保密管控、多格式导出与电子投标适配、投标项目管理、治理观测能力。</w:t>
      </w:r>
    </w:p>
    <w:p>
      <w:pPr>
        <w:pStyle w:val="Heading2CN"/>
      </w:pPr>
      <w:r>
        <w:t>4.3 建设边界</w:t>
      </w:r>
    </w:p>
    <w:p>
      <w:pPr>
        <w:pStyle w:val="BodyCN"/>
        <w:spacing w:line="348" w:lineRule="auto" w:after="80"/>
        <w:ind w:firstLine="420"/>
      </w:pPr>
      <w:r>
        <w:t>首版不定义为“全自动写标系统”，而定义为“智能辅助编标与过程管控平台”。关键条款、关键承诺、关键资质和关键偏离项必须人工确认；OCR、抽取和生成能力均需设置信心阈值与人工复核。</w:t>
      </w:r>
    </w:p>
    <w:p>
      <w:pPr>
        <w:pStyle w:val="Heading1CN"/>
        <w:pBdr>
          <w:bottom w:val="single" w:sz="8" w:space="1" w:color="D9E2F3"/>
        </w:pBdr>
      </w:pPr>
      <w:r>
        <w:t>五、产品定位与总体架构</w:t>
      </w:r>
    </w:p>
    <w:p>
      <w:pPr>
        <w:pStyle w:val="Heading2CN"/>
      </w:pPr>
      <w:r>
        <w:t>5.1 产品定位</w:t>
      </w:r>
    </w:p>
    <w:p>
      <w:pPr>
        <w:pStyle w:val="BodyCN"/>
        <w:spacing w:line="348" w:lineRule="auto" w:after="80"/>
        <w:ind w:firstLine="420"/>
      </w:pPr>
      <w:r>
        <w:t>平台定位为“面向企业投标业务的 AI-native 生产平台”，同时具备生产平台、知识平台、治理平台和 AI 平台四类属性。它既服务于投标项目的日常生产，也服务于知识沉淀、质量治理与经营复盘。</w:t>
      </w:r>
    </w:p>
    <w:p>
      <w:pPr>
        <w:pStyle w:val="Heading2CN"/>
      </w:pPr>
      <w:r>
        <w:t>5.2 总体分层架构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体验与交互层：统一工作台、在线编标区、审核流转区、知识检索区、风险审校中心和项目驾驶舱。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业务应用层：项目管理、响应矩阵、模板管理、编制服务、审核服务、导出服务、通知服务和审计服务。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AI 运行层：OCR 与文档解析、结构化抽取、检索增强、章节生成、智能审校、风险识别和问答助手。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知识与数据层：PostgreSQL 业务库、Redis 缓存、MinIO 文件存储、元数据索引、向量索引、版本仓和审计日志仓。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治理与运维层：监控告警、日志链路、Prompt/模型/规则版本管理、回归评测、发布与回滚机制、备份与容灾。</w:t>
      </w:r>
    </w:p>
    <w:p>
      <w:pPr>
        <w:pStyle w:val="Heading2CN"/>
      </w:pPr>
      <w:r>
        <w:t>5.3 核心闭环</w:t>
      </w:r>
    </w:p>
    <w:p>
      <w:pPr>
        <w:pStyle w:val="BodyCN"/>
        <w:spacing w:line="348" w:lineRule="auto" w:after="80"/>
        <w:ind w:firstLine="420"/>
      </w:pPr>
      <w:r>
        <w:t>本平台围绕“接入—解读—拆解—检索—编制—审校—审核—导出—归档—反哺”的 10 步闭环运转，确保每一次投标项目都能沉淀为后续项目可复用的结构化经验。</w:t>
      </w:r>
    </w:p>
    <w:p>
      <w:pPr>
        <w:pStyle w:val="Heading1CN"/>
        <w:pBdr>
          <w:bottom w:val="single" w:sz="8" w:space="1" w:color="D9E2F3"/>
        </w:pBdr>
      </w:pPr>
      <w:r>
        <w:t>六、核心功能模块设计</w:t>
      </w:r>
    </w:p>
    <w:p>
      <w:pPr>
        <w:pStyle w:val="Heading2CN"/>
      </w:pPr>
      <w:r>
        <w:t>6.1 文档智能接入与解读模块</w:t>
      </w:r>
    </w:p>
    <w:p>
      <w:pPr>
        <w:pStyle w:val="BodyCN"/>
        <w:spacing w:line="348" w:lineRule="auto" w:after="80"/>
        <w:ind w:firstLine="420"/>
      </w:pPr>
      <w:r>
        <w:t>统一接入 PDF、Word、扫描件、图片及压缩包附件，自动完成 OCR、版面恢复、目录重建、时间节点提取、资格条件提取、评分标准提取、技术参数提取和商务条款提取，并对低置信度内容进入人工确认队列。</w:t>
      </w:r>
    </w:p>
    <w:p>
      <w:pPr>
        <w:pStyle w:val="Heading2CN"/>
      </w:pPr>
      <w:r>
        <w:t>6.2 投标响应矩阵模块</w:t>
      </w:r>
    </w:p>
    <w:p>
      <w:pPr>
        <w:pStyle w:val="BodyCN"/>
        <w:spacing w:line="348" w:lineRule="auto" w:after="80"/>
        <w:ind w:firstLine="420"/>
      </w:pPr>
      <w:r>
        <w:t>将招标要求映射为“要求项—响应项—证据项—责任人—状态—风险等级”的结构化矩阵，作为编标、审校、审核、签发和归档的主索引。该模块是首版必须建设的关键中枢。</w:t>
      </w:r>
    </w:p>
    <w:p>
      <w:pPr>
        <w:pStyle w:val="Heading2CN"/>
      </w:pPr>
      <w:r>
        <w:t>6.3 智能编标模块</w:t>
      </w:r>
    </w:p>
    <w:p>
      <w:pPr>
        <w:pStyle w:val="BodyCN"/>
        <w:spacing w:line="348" w:lineRule="auto" w:after="80"/>
        <w:ind w:firstLine="420"/>
      </w:pPr>
      <w:r>
        <w:t>围绕模板管理、内容复用、引用插入、章节首稿生成、表格辅助填充、在线协同编辑、差异对比和版本管理构建可控的编标能力，AI 生成部分需明确标识来源和建议属性。</w:t>
      </w:r>
    </w:p>
    <w:p>
      <w:pPr>
        <w:pStyle w:val="Heading2CN"/>
      </w:pPr>
      <w:r>
        <w:t>6.4 智能审校与合规模块</w:t>
      </w:r>
    </w:p>
    <w:p>
      <w:pPr>
        <w:pStyle w:val="BodyCN"/>
        <w:spacing w:line="348" w:lineRule="auto" w:after="80"/>
        <w:ind w:firstLine="420"/>
      </w:pPr>
      <w:r>
        <w:t>对响应完整性、格式规范、术语统一、参数冲突、时间冲突、资质有效期、高风险承诺和涉密内容进行自动识别与提示；对高风险内容形成审校清单和整改建议。</w:t>
      </w:r>
    </w:p>
    <w:p>
      <w:pPr>
        <w:pStyle w:val="Heading2CN"/>
      </w:pPr>
      <w:r>
        <w:t>6.5 审核流与签发控制模块</w:t>
      </w:r>
    </w:p>
    <w:p>
      <w:pPr>
        <w:pStyle w:val="BodyCN"/>
        <w:spacing w:line="348" w:lineRule="auto" w:after="80"/>
        <w:ind w:firstLine="420"/>
      </w:pPr>
      <w:r>
        <w:t>按“制作人—部门经理—总监—总经理/授权签发人”建立四级审核链，支持批注、退回、整改、时限提醒、差异比对和红线项锁定。</w:t>
      </w:r>
    </w:p>
    <w:p>
      <w:pPr>
        <w:pStyle w:val="Heading2CN"/>
      </w:pPr>
      <w:r>
        <w:t>6.6 企业投标知识中台</w:t>
      </w:r>
    </w:p>
    <w:p>
      <w:pPr>
        <w:pStyle w:val="BodyCN"/>
        <w:spacing w:line="348" w:lineRule="auto" w:after="80"/>
        <w:ind w:firstLine="420"/>
      </w:pPr>
      <w:r>
        <w:t>对历史标书、招标文件、资质资料、案例材料、参数资料、审改意见和中标/失标复盘进行对象化、版本化和权限化管理；支持关键词检索、条件过滤、语义检索和引用溯源。</w:t>
      </w:r>
    </w:p>
    <w:p>
      <w:pPr>
        <w:pStyle w:val="Heading2CN"/>
      </w:pPr>
      <w:r>
        <w:t>6.7 安全与保密管控模块</w:t>
      </w:r>
    </w:p>
    <w:p>
      <w:pPr>
        <w:pStyle w:val="BodyCN"/>
        <w:spacing w:line="348" w:lineRule="auto" w:after="80"/>
        <w:ind w:firstLine="420"/>
      </w:pPr>
      <w:r>
        <w:t>实现账号认证、角色权限、项目级授权、文档密级、水印、导出审批、外发控制、加密存储、操作审计与高密项目隔离。</w:t>
      </w:r>
    </w:p>
    <w:p>
      <w:pPr>
        <w:pStyle w:val="Heading2CN"/>
      </w:pPr>
      <w:r>
        <w:t>6.8 多格式导出与电子投标适配模块</w:t>
      </w:r>
    </w:p>
    <w:p>
      <w:pPr>
        <w:pStyle w:val="BodyCN"/>
        <w:spacing w:line="348" w:lineRule="auto" w:after="80"/>
        <w:ind w:firstLine="420"/>
      </w:pPr>
      <w:r>
        <w:t>支持 Word、PDF、电子投标格式导出，并在导出前进行目录、页码、签章页、附件清单和基础完整性检查。</w:t>
      </w:r>
    </w:p>
    <w:p>
      <w:pPr>
        <w:pStyle w:val="Heading2CN"/>
      </w:pPr>
      <w:r>
        <w:t>6.9 项目运营驾驶舱模块</w:t>
      </w:r>
    </w:p>
    <w:p>
      <w:pPr>
        <w:pStyle w:val="BodyCN"/>
        <w:spacing w:line="348" w:lineRule="auto" w:after="80"/>
        <w:ind w:firstLine="420"/>
      </w:pPr>
      <w:r>
        <w:t>以项目为单位展示节点进度、任务负载、风险热图、审核状态、知识复用率、AI 调用统计和复盘指标，为管理层提供可视化抓手。</w:t>
      </w:r>
    </w:p>
    <w:p>
      <w:pPr>
        <w:pStyle w:val="Heading1CN"/>
        <w:pBdr>
          <w:bottom w:val="single" w:sz="8" w:space="1" w:color="D9E2F3"/>
        </w:pBdr>
      </w:pPr>
      <w:r>
        <w:t>七、技术架构与关键技术路线</w:t>
      </w:r>
    </w:p>
    <w:p>
      <w:pPr>
        <w:pStyle w:val="Heading2CN"/>
      </w:pPr>
      <w:r>
        <w:t>7.1 推荐技术栈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前端：Vue 3 + TypeScript + Vite + Element Plus；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后端：Spring Boot + Spring Security + MyBatis Plus + 工作流引擎；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数据与存储：PostgreSQL + Redis + MinIO；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AI 运行：OCR/文档解析服务 + 检索增强服务 + 章节生成服务 + 审校服务；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治理与运维：日志、指标、链路追踪、评测集管理、版本管理与备份容灾。</w:t>
      </w:r>
    </w:p>
    <w:p>
      <w:pPr>
        <w:pStyle w:val="Heading2CN"/>
      </w:pPr>
      <w:r>
        <w:t>7.2 关键技术路线说明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文档解析路线：采用 OCR + 版面解析 + 结构化抽取组合机制，兼顾扫描件和电子文档场景。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知识检索路线：采用元数据检索、全文检索和语义检索结合的混合检索模式，优先返回可引用、可追溯、权限匹配的知识对象。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编标路线：围绕模板、知识引用和章节首稿辅助生成构建“可控生成”模式，不把大模型输出直接视为最终稿。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审校路线：采用规则引擎 + 检索比对 + AI 判别的组合策略，优先发现高频低级错误和高风险承诺。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治理路线：围绕版本管理、日志链路、回归评测、灰度发布和人工反馈闭环构建生产级治理能力。</w:t>
      </w:r>
    </w:p>
    <w:p>
      <w:pPr>
        <w:pStyle w:val="Heading2CN"/>
      </w:pPr>
      <w:r>
        <w:t>7.3 部署架构建议</w:t>
      </w:r>
    </w:p>
    <w:p>
      <w:pPr>
        <w:pStyle w:val="BodyCN"/>
        <w:spacing w:line="348" w:lineRule="auto" w:after="80"/>
        <w:ind w:firstLine="420"/>
      </w:pPr>
      <w:r>
        <w:t>首版采用本地部署优先策略，建议使用内网 Linux 服务器、独立数据库、文件存储与应用服务进行部署；后续根据用户规模和并发需求，逐步演进为容器化、服务拆分、多环境隔离和高可用部署。</w:t>
      </w:r>
    </w:p>
    <w:p>
      <w:pPr>
        <w:pStyle w:val="Heading1CN"/>
        <w:pBdr>
          <w:bottom w:val="single" w:sz="8" w:space="1" w:color="D9E2F3"/>
        </w:pBdr>
      </w:pPr>
      <w:r>
        <w:t>八、数据架构与安全保密设计</w:t>
      </w:r>
    </w:p>
    <w:p>
      <w:pPr>
        <w:pStyle w:val="Heading2CN"/>
      </w:pPr>
      <w:r>
        <w:t>8.1 数据架构设计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交易型数据：项目、任务、流程、审核、通知和导出记录。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文档对象数据：招标文件、标书版本、附件、导出件和盖章件。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知识资产数据：资质、案例、参数、模板、审校经验和复盘结论。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AI 中间数据：OCR 结果、抽取结果、检索结果、生成草稿、审校结果和 trace 记录。</w:t>
      </w:r>
    </w:p>
    <w:p>
      <w:pPr>
        <w:pStyle w:val="Heading2CN"/>
      </w:pPr>
      <w:r>
        <w:t>8.2 数据管理原则</w:t>
      </w:r>
    </w:p>
    <w:p>
      <w:pPr>
        <w:pStyle w:val="BodyCN"/>
        <w:spacing w:line="348" w:lineRule="auto" w:after="80"/>
        <w:ind w:firstLine="420"/>
      </w:pPr>
      <w:r>
        <w:t>统一编号、版本控制、元数据完整、权限隔离、引用可追溯、敏感数据脱敏、高密项目隔离、备份与生命周期管理。</w:t>
      </w:r>
    </w:p>
    <w:p>
      <w:pPr>
        <w:pStyle w:val="Heading2CN"/>
      </w:pPr>
      <w:r>
        <w:t>8.3 安全与保密设计</w:t>
      </w:r>
    </w:p>
    <w:p>
      <w:pPr>
        <w:pStyle w:val="BodyCN"/>
        <w:spacing w:line="348" w:lineRule="auto" w:after="80"/>
        <w:ind w:firstLine="420"/>
      </w:pPr>
      <w:r>
        <w:t>建立基于最小权限原则的角色授权和项目级授权体系；</w:t>
      </w:r>
    </w:p>
    <w:p>
      <w:pPr>
        <w:pStyle w:val="BodyCN"/>
        <w:spacing w:line="348" w:lineRule="auto" w:after="80"/>
        <w:ind w:firstLine="420"/>
      </w:pPr>
      <w:r>
        <w:t>对高密文档启用水印、下载审批、外发控制和导出留痕；</w:t>
      </w:r>
    </w:p>
    <w:p>
      <w:pPr>
        <w:pStyle w:val="BodyCN"/>
        <w:spacing w:line="348" w:lineRule="auto" w:after="80"/>
        <w:ind w:firstLine="420"/>
      </w:pPr>
      <w:r>
        <w:t>对关键操作进行全量审计，包括查看、下载、编辑、审核、导出、签发等；</w:t>
      </w:r>
    </w:p>
    <w:p>
      <w:pPr>
        <w:pStyle w:val="BodyCN"/>
        <w:spacing w:line="348" w:lineRule="auto" w:after="80"/>
        <w:ind w:firstLine="420"/>
      </w:pPr>
      <w:r>
        <w:t>对 AI 生成内容强制标记来源和责任边界，避免“黑盒输出”直接进入定稿。</w:t>
      </w:r>
    </w:p>
    <w:p>
      <w:pPr>
        <w:pStyle w:val="Heading1CN"/>
        <w:pBdr>
          <w:bottom w:val="single" w:sz="8" w:space="1" w:color="D9E2F3"/>
        </w:pBdr>
      </w:pPr>
      <w:r>
        <w:t>九、研发实施规划与里程碑</w:t>
      </w:r>
    </w:p>
    <w:p>
      <w:pPr>
        <w:pStyle w:val="Heading2CN"/>
      </w:pPr>
      <w:r>
        <w:t>9.1 实施策略</w:t>
      </w:r>
    </w:p>
    <w:p>
      <w:pPr>
        <w:pStyle w:val="BodyCN"/>
        <w:spacing w:line="348" w:lineRule="auto" w:after="80"/>
        <w:ind w:firstLine="420"/>
      </w:pPr>
      <w:r>
        <w:t>采用“五阶段推进 + 每阶段可验收”的实施策略。优先做核心闭环，避免首版需求过大导致周期失控。每一阶段均需形成明确的交付件、验收标准和 go/no-go 判断。</w:t>
      </w:r>
    </w:p>
    <w:p>
      <w:pPr>
        <w:pStyle w:val="Heading2CN"/>
      </w:pPr>
      <w:r>
        <w:t>9.2 阶段划分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Phase 1：平台底座与文档接入；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Phase 2：知识中台与检索增强；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Phase 3：智能编标与在线协同；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Phase 4：智能审校、多级审核与导出适配；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Phase 5：治理观测与生产化部署。</w:t>
      </w:r>
    </w:p>
    <w:p>
      <w:pPr>
        <w:pStyle w:val="Heading1CN"/>
        <w:pBdr>
          <w:bottom w:val="single" w:sz="8" w:space="1" w:color="D9E2F3"/>
        </w:pBdr>
      </w:pPr>
      <w:r>
        <w:t>十、研发团队配置与职责建议</w:t>
      </w:r>
    </w:p>
    <w:p>
      <w:pPr>
        <w:pStyle w:val="Heading2CN"/>
      </w:pPr>
      <w:r>
        <w:t>10.1 团队配置原则</w:t>
      </w:r>
    </w:p>
    <w:p>
      <w:pPr>
        <w:pStyle w:val="BodyCN"/>
        <w:spacing w:line="348" w:lineRule="auto" w:after="80"/>
        <w:ind w:firstLine="420"/>
      </w:pPr>
      <w:r>
        <w:t>项目成功的关键不在于堆人，而在于业务专家、产品、架构、研发、测试和运维形成统一协同。建议采用“小核心团队 + 业务深度参与 + 阶段性评审”模式。</w:t>
      </w:r>
    </w:p>
    <w:p>
      <w:pPr>
        <w:pStyle w:val="Heading2CN"/>
      </w:pPr>
      <w:r>
        <w:t>10.2 建议角色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项目负责人 / 产品负责人：统筹需求边界、优先级、验收口径和跨部门协调。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解决方案负责人：负责业务流程、功能设计、模板体系、审核策略和落地方案。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技术架构师：负责总体架构、服务拆分、数据模型、安全边界和部署设计。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前端研发工程师：负责统一工作台、在线编标界面、审核交互和驾驶舱展示。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后端研发工程师：负责项目服务、流程服务、审计权限、导出服务和基础接口。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AI 工程师：负责文档解析、检索增强、首稿辅助、审校策略和评测优化。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测试工程师：负责功能测试、流程测试、兼容性测试、回归测试和验收配合。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运维/实施工程师：负责环境搭建、部署上线、监控告警、备份与问题处理。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投标业务专家：负责规则确认、模板沉淀、知识审核和业务验收。</w:t>
      </w:r>
    </w:p>
    <w:p>
      <w:pPr>
        <w:pStyle w:val="Heading1CN"/>
        <w:pBdr>
          <w:bottom w:val="single" w:sz="8" w:space="1" w:color="D9E2F3"/>
        </w:pBdr>
      </w:pPr>
      <w:r>
        <w:t>十一、成本预算测算</w:t>
      </w:r>
    </w:p>
    <w:p>
      <w:pPr>
        <w:pStyle w:val="Heading2CN"/>
      </w:pPr>
      <w:r>
        <w:t>11.1 预算口径说明</w:t>
      </w:r>
    </w:p>
    <w:p>
      <w:pPr>
        <w:pStyle w:val="BodyCN"/>
        <w:spacing w:line="348" w:lineRule="auto" w:after="80"/>
        <w:ind w:firstLine="420"/>
      </w:pPr>
      <w:r>
        <w:t>以下成本预算按“企业内部自研 + 本地部署 + 5 阶段实施”的口径测算，属于立项阶段的可研级预算，主要用于判断投入强度和资源安排。实际金额可在立项通过后结合公司薪酬水平、实施周期、是否采购第三方 OCR/模型服务及硬件规格进一步校准。</w:t>
      </w:r>
    </w:p>
    <w:p>
      <w:pPr>
        <w:pStyle w:val="Heading2CN"/>
      </w:pPr>
      <w:r>
        <w:t>11.2 预算结构</w:t>
      </w:r>
    </w:p>
    <w:p>
      <w:pPr>
        <w:pStyle w:val="BodyCN"/>
        <w:spacing w:line="348" w:lineRule="auto" w:after="80"/>
        <w:ind w:firstLine="420"/>
      </w:pPr>
      <w:r>
        <w:t>预算主要包含：人力研发成本、测试与实施成本、服务器与存储设备成本、第三方软件/服务成本、预留风险与管理成本。</w:t>
      </w:r>
    </w:p>
    <w:p>
      <w:pPr>
        <w:pStyle w:val="Heading1CN"/>
        <w:pBdr>
          <w:bottom w:val="single" w:sz="8" w:space="1" w:color="D9E2F3"/>
        </w:pBdr>
      </w:pPr>
      <w:r>
        <w:t>十二、风险台账与应对措施</w:t>
      </w:r>
    </w:p>
    <w:p>
      <w:pPr>
        <w:pStyle w:val="Heading2CN"/>
      </w:pPr>
      <w:r>
        <w:t>12.1 风险管理原则</w:t>
      </w:r>
    </w:p>
    <w:p>
      <w:pPr>
        <w:pStyle w:val="BodyCN"/>
        <w:spacing w:line="348" w:lineRule="auto" w:after="80"/>
        <w:ind w:firstLine="420"/>
      </w:pPr>
      <w:r>
        <w:t>以“早识别、早预警、早止损”为原则，建立贯穿需求、研发、测试、上线和运行期的风险台账。高风险项必须设置责任人、触发信号和应对动作。</w:t>
      </w:r>
    </w:p>
    <w:p>
      <w:pPr>
        <w:pStyle w:val="Heading1CN"/>
        <w:pBdr>
          <w:bottom w:val="single" w:sz="8" w:space="1" w:color="D9E2F3"/>
        </w:pBdr>
      </w:pPr>
      <w:r>
        <w:t>十三、效益评估与结论建议</w:t>
      </w:r>
    </w:p>
    <w:p>
      <w:pPr>
        <w:pStyle w:val="Heading2CN"/>
      </w:pPr>
      <w:r>
        <w:t>13.1 效益评估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短期效益：统一平台和流程、减少低级错误、提升资料归集和首稿形成效率。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中期效益：沉淀企业投标知识中台、缩短新人培养周期、提升审核流转效率。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长期效益：形成投标经营数据资产，为中标率分析、资源投入判断和管理决策提供基础。</w:t>
      </w:r>
    </w:p>
    <w:p>
      <w:pPr>
        <w:pStyle w:val="Heading2CN"/>
      </w:pPr>
      <w:r>
        <w:t>13.2 结论建议</w:t>
      </w:r>
    </w:p>
    <w:p>
      <w:pPr>
        <w:pStyle w:val="BodyCN"/>
        <w:spacing w:line="348" w:lineRule="auto" w:after="80"/>
        <w:ind w:firstLine="420"/>
      </w:pPr>
      <w:r>
        <w:t>综合判断，本项目具备较高建设价值和可行性，建议作为企业投标数字化转型重点项目立项。建议首版聚焦核心闭环能力，采用本地部署与分阶段实施方式推进，并同步建立治理与评测机制，避免平台在功能扩张前失去质量与安全控制。</w:t>
      </w:r>
    </w:p>
    <w:p>
      <w:pPr>
        <w:pStyle w:val="Heading2CN"/>
      </w:pPr>
      <w:r>
        <w:t>9.3 里程碑计划（建议版）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阶段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周期建议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核心交付件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阶段验收重点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1</w:t>
              <w:br/>
              <w:t>平台底座与文档接入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第 1-4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项目空间、权限体系、文件上传、OCR 接入、基础抽取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文件接入稳定、权限有效、基础抽取可用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2</w:t>
              <w:br/>
              <w:t>知识中台与检索增强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第 5-8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知识对象模型、入库流程、关键词/语义检索、响应矩阵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知识入库可控、召回结果可用、响应矩阵成形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3</w:t>
              <w:br/>
              <w:t>智能编标与在线协同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第 9-12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模板体系、首稿辅助、在线编辑、版本对比、协同机制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首稿质量可接受、多人协同流畅、修订可追溯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4</w:t>
              <w:br/>
              <w:t>智能审校与审核导出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第 13-16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规则校验、风险提示、四级审核、Word/PDF 导出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高频错误可发现、审核链闭环、导出稳定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5</w:t>
              <w:br/>
              <w:t>治理观测与生产化部署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第 17-20 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日志追踪、评测集、告警、备份、上线方案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运行可观测、回归可验证、上线可控</w:t>
            </w:r>
          </w:p>
        </w:tc>
      </w:tr>
    </w:tbl>
    <w:p/>
    <w:p>
      <w:pPr>
        <w:pStyle w:val="Heading2CN"/>
      </w:pPr>
      <w:r>
        <w:t>10.3 研发团队配置建议表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角色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建议人数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投入阶段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主要职责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项目负责人/产品负责人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全周期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把控需求边界、优先级、阶段验收与跨部门协调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解决方案负责人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全周期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负责业务规则、模块设计、模板体系、验收口径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技术架构师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全周期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负责总体架构、数据模型、安全边界、部署设计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前端研发工程师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2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1-5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负责工作台、在线编标、审核界面、驾驶舱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后端研发工程师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2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1-5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负责业务服务、流程服务、权限审计、导出接口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AI 工程师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1-2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1-5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负责文档解析、检索增强、首稿辅助、审校策略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测试工程师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2-5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负责功能、流程、回归、兼容与验收测试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运维/实施工程师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1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Phase 4-5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负责环境搭建、部署上线、监控与备份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投标业务专家（兼职）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1-2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全周期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负责业务规则确认、知识审核、试用反馈</w:t>
            </w:r>
          </w:p>
        </w:tc>
      </w:tr>
    </w:tbl>
    <w:p/>
    <w:p>
      <w:pPr>
        <w:pStyle w:val="Heading2CN"/>
      </w:pPr>
      <w:r>
        <w:t>11.3 成本预算测算表（可研口径）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成本类别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测算说明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预算区间（万元）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备注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人力研发成本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产品、架构、前后端、AI、测试、运维等核心人员约 5 个月投入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65-88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按内部自研测算，未含长期运维团队扩编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服务器与存储设备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应用服务器、数据库服务器、文件存储、备份存储及基础网络设备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12-20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依本地部署规格与冗余策略浮动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第三方能力与软件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OCR 服务、文档处理组件、日志告警或企业内部工具适配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6-15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可根据自研比例下降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测试与试运行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测试环境、验收测试、试运行支持、问题整改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5-8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含试点上线支持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培训与推广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管理员培训、业务部门培训、制度落地与操作手册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2-4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可与试运行同期执行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项目管理与风险预留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需求变更缓冲、不可预见问题、阶段性加班投入等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8-12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建议单列预留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合计</w:t>
            </w:r>
          </w:p>
        </w:tc>
        <w:tc>
          <w:tcPr>
            <w:tcW w:type="dxa" w:w="37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建议按首版建设总预算进行立项控制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98-147</w:t>
            </w:r>
          </w:p>
        </w:tc>
        <w:tc>
          <w:tcPr>
            <w:tcW w:type="dxa" w:w="221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9"/>
              </w:rPr>
              <w:t>建议立项批复时预留</w:t>
            </w:r>
          </w:p>
        </w:tc>
      </w:tr>
    </w:tbl>
    <w:p/>
    <w:p>
      <w:pPr>
        <w:pStyle w:val="Callout"/>
        <w:ind w:left="113" w:right="113"/>
      </w:pPr>
      <w:r>
        <w:rPr>
          <w:rFonts w:ascii="Noto Sans CJK SC" w:hAnsi="Noto Sans CJK SC" w:eastAsia="Noto Sans CJK SC" w:cs="Noto Sans CJK SC"/>
          <w:color w:val="404040"/>
          <w:sz w:val="19"/>
        </w:rPr>
        <w:t>预算说明：以上为可研阶段的参考区间，适用于“首版建设 + 本地部署 + 20 周实施”的测算口径。若采用更高规格算力、双活容灾或更多第三方服务，预算需相应上浮。</w:t>
      </w:r>
    </w:p>
    <w:p>
      <w:pPr>
        <w:pStyle w:val="Heading2CN"/>
      </w:pPr>
      <w:r>
        <w:t>12.2 风险台账（建议版）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风险项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触发信号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影响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应对措施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DCE6F1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4062"/>
                <w:sz w:val="20"/>
              </w:rPr>
              <w:t>责任角色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需求范围失控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阶段中新增大量非核心需求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进度拖延、成本上升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建立阶段范围冻结机制，新增需求走变更评审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项目负责人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AI 抽取/生成效果不稳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识别误差高、引用不准、人工修订率高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用户信任下降、返工增加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建立评测集、低置信度转人工、优先规则和检索兜底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AI 工程师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知识库质量不足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入库资料混乱、版本不清、失效资料未清理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召回内容不可用、误用旧资料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建立入库审核、版本标记、失效机制与责任人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解决方案负责人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审核流执行走样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越级审核、代审、意见不闭环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责任不清、质量失控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权限严格控制，强制留痕与整改闭环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管理层/流程管理员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保密泄露风险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未授权下载、外发、复制或导出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合规风险、重大损失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启用水印、导出审批、操作审计、高密项目隔离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保密负责人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上线后性能不达标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高峰期响应慢、导出失败、存储压力大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使用体验差、影响生产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提前做容量评估、压测与分阶段优化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技术架构师</w:t>
            </w:r>
          </w:p>
        </w:tc>
      </w:tr>
      <w:tr>
        <w:tc>
          <w:tcPr>
            <w:tcW w:type="dxa" w:w="158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用户接受度不足</w:t>
            </w:r>
          </w:p>
        </w:tc>
        <w:tc>
          <w:tcPr>
            <w:tcW w:type="dxa" w:w="215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一线人员绕过平台、继续线下操作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平台利用率低</w:t>
            </w:r>
          </w:p>
        </w:tc>
        <w:tc>
          <w:tcPr>
            <w:tcW w:type="dxa" w:w="32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首版聚焦真实痛点，配合培训和试点推动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1F1F1F"/>
                <w:sz w:val="18"/>
              </w:rPr>
              <w:t>项目负责人</w:t>
            </w:r>
          </w:p>
        </w:tc>
      </w:tr>
    </w:tbl>
    <w:p/>
    <w:p>
      <w:r>
        <w:br w:type="page"/>
      </w:r>
    </w:p>
    <w:p>
      <w:pPr>
        <w:pStyle w:val="Heading1CN"/>
        <w:pBdr>
          <w:bottom w:val="single" w:sz="8" w:space="1" w:color="D9E2F3"/>
        </w:pBdr>
      </w:pPr>
      <w:r>
        <w:t>结论页</w:t>
      </w:r>
    </w:p>
    <w:p>
      <w:pPr>
        <w:pStyle w:val="Heading2CN"/>
      </w:pPr>
      <w:r>
        <w:t>建议立项结论</w:t>
      </w:r>
    </w:p>
    <w:p>
      <w:pPr>
        <w:pStyle w:val="BodyCN"/>
        <w:spacing w:line="348" w:lineRule="auto" w:after="80"/>
        <w:ind w:firstLine="420"/>
      </w:pPr>
      <w:r>
        <w:t>本项目符合企业投标数字化转型的核心诉求，业务痛点真实、建设收益明确、技术路线可落地、组织投入可控，具备较强的立项价值。建议按“首版聚焦核心闭环、AI 分阶段增强、治理能力同步建设”的思路推进。</w:t>
      </w:r>
    </w:p>
    <w:p>
      <w:pPr>
        <w:pStyle w:val="Heading2CN"/>
      </w:pPr>
      <w:r>
        <w:t>建议审批意见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建议同意立项，按 20 周左右周期推进首版建设；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建议按 98-147 万元可研预算口径进行资源统筹与审批；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建议明确项目负责人、业务专家与技术架构师作为核心角色；</w:t>
      </w:r>
    </w:p>
    <w:p>
      <w:pPr>
        <w:pStyle w:val="BodyCN"/>
        <w:spacing w:after="60"/>
        <w:ind w:left="227" w:hanging="227"/>
      </w:pPr>
      <w:r>
        <w:rPr>
          <w:rFonts w:ascii="Noto Sans CJK SC" w:hAnsi="Noto Sans CJK SC" w:eastAsia="Noto Sans CJK SC" w:cs="Noto Sans CJK SC"/>
          <w:b/>
          <w:color w:val="1F4E79"/>
          <w:sz w:val="21"/>
        </w:rPr>
        <w:t xml:space="preserve">• </w:t>
      </w:r>
      <w:r>
        <w:t>建议首版完成后以试点项目进行 1-2 轮实战验证，再进入全面推广。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9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color w:val="6B7280"/>
        <w:sz w:val="19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Normal"/>
    <w:pPr>
      <w:spacing w:line="324" w:lineRule="auto" w:after="120" w:before="40"/>
    </w:pPr>
    <w:rPr>
      <w:rFonts w:ascii="Noto Sans CJK SC" w:hAnsi="Noto Sans CJK SC" w:eastAsia="Noto Sans CJK SC"/>
      <w:b/>
      <w:color w:val="1F4E79"/>
      <w:sz w:val="44"/>
    </w:rPr>
  </w:style>
  <w:style w:type="paragraph" w:customStyle="1" w:styleId="SubtitleCN">
    <w:name w:val="SubtitleCN"/>
    <w:basedOn w:val="Normal"/>
    <w:pPr>
      <w:spacing w:line="324" w:lineRule="auto" w:after="120" w:before="40"/>
    </w:pPr>
    <w:rPr>
      <w:rFonts w:ascii="Noto Sans CJK SC" w:hAnsi="Noto Sans CJK SC" w:eastAsia="Noto Sans CJK SC"/>
      <w:b w:val="0"/>
      <w:color w:val="5B6573"/>
      <w:sz w:val="22"/>
    </w:rPr>
  </w:style>
  <w:style w:type="paragraph" w:customStyle="1" w:styleId="Heading1CN">
    <w:name w:val="Heading1CN"/>
    <w:basedOn w:val="Normal"/>
    <w:pPr>
      <w:spacing w:line="324" w:lineRule="auto" w:after="160" w:before="240"/>
    </w:pPr>
    <w:rPr>
      <w:rFonts w:ascii="Noto Sans CJK SC" w:hAnsi="Noto Sans CJK SC" w:eastAsia="Noto Sans CJK SC"/>
      <w:b/>
      <w:color w:val="1F4E79"/>
      <w:sz w:val="30"/>
    </w:rPr>
  </w:style>
  <w:style w:type="paragraph" w:customStyle="1" w:styleId="Heading2CN">
    <w:name w:val="Heading2CN"/>
    <w:basedOn w:val="Normal"/>
    <w:pPr>
      <w:spacing w:line="324" w:lineRule="auto" w:after="80" w:before="160"/>
    </w:pPr>
    <w:rPr>
      <w:rFonts w:ascii="Noto Sans CJK SC" w:hAnsi="Noto Sans CJK SC" w:eastAsia="Noto Sans CJK SC"/>
      <w:b/>
      <w:color w:val="244062"/>
      <w:sz w:val="25"/>
    </w:rPr>
  </w:style>
  <w:style w:type="paragraph" w:customStyle="1" w:styleId="Heading3CN">
    <w:name w:val="Heading3CN"/>
    <w:basedOn w:val="Normal"/>
    <w:pPr>
      <w:spacing w:line="324" w:lineRule="auto" w:after="40" w:before="80"/>
    </w:pPr>
    <w:rPr>
      <w:rFonts w:ascii="Noto Sans CJK SC" w:hAnsi="Noto Sans CJK SC" w:eastAsia="Noto Sans CJK SC"/>
      <w:b/>
      <w:color w:val="244062"/>
      <w:sz w:val="22"/>
    </w:rPr>
  </w:style>
  <w:style w:type="paragraph" w:customStyle="1" w:styleId="BodyCN">
    <w:name w:val="BodyCN"/>
    <w:basedOn w:val="Normal"/>
    <w:pPr>
      <w:spacing w:line="324" w:lineRule="auto" w:after="120" w:before="40"/>
    </w:pPr>
    <w:rPr>
      <w:rFonts w:ascii="Noto Sans CJK SC" w:hAnsi="Noto Sans CJK SC" w:eastAsia="Noto Sans CJK SC"/>
      <w:b w:val="0"/>
      <w:color w:val="1F1F1F"/>
      <w:sz w:val="21"/>
    </w:rPr>
  </w:style>
  <w:style w:type="paragraph" w:customStyle="1" w:styleId="Callout">
    <w:name w:val="Callout"/>
    <w:basedOn w:val="Normal"/>
    <w:pPr>
      <w:spacing w:line="324" w:lineRule="auto" w:after="120" w:before="40"/>
    </w:pPr>
    <w:rPr>
      <w:rFonts w:ascii="Noto Sans CJK SC" w:hAnsi="Noto Sans CJK SC" w:eastAsia="Noto Sans CJK SC"/>
      <w:b w:val="0"/>
      <w:color w:val="40404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