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9FC1E86" w14:textId="42BD4EF7" w:rsidR="00F31FFF" w:rsidRPr="00B17A11" w:rsidRDefault="00F31FFF" w:rsidP="00F31FFF">
      <w:pPr>
        <w:spacing w:after="0" w:line="240" w:lineRule="auto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 xml:space="preserve"> ______     __  __     ______     ______     __  __     ______   __  __     __     __   __</w:t>
      </w:r>
    </w:p>
    <w:p w14:paraId="582BFC28" w14:textId="77777777" w:rsidR="00F31FFF" w:rsidRPr="00B17A11" w:rsidRDefault="00F31FFF" w:rsidP="00F31FFF">
      <w:pPr>
        <w:spacing w:after="0" w:line="240" w:lineRule="auto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>/\  ___\   /\ \_\ \   /\  __ \   /\  == \   /\ \/ /    /\  == \ /\ \_\ \   /\ \   /\ "-.\ \</w:t>
      </w:r>
    </w:p>
    <w:p w14:paraId="2A755F94" w14:textId="77777777" w:rsidR="00F31FFF" w:rsidRPr="00B17A11" w:rsidRDefault="00F31FFF" w:rsidP="00F31FFF">
      <w:pPr>
        <w:spacing w:after="0" w:line="240" w:lineRule="auto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>\ \___  \  \ \  __ \  \ \  __ \  \ \  __&lt;   \ \  _"-.  \ \  _-/ \ \  __ \  \ \ \  \ \ \-.  \</w:t>
      </w:r>
    </w:p>
    <w:p w14:paraId="73E06A75" w14:textId="77777777" w:rsidR="00F31FFF" w:rsidRPr="00B17A11" w:rsidRDefault="00F31FFF" w:rsidP="00F31FFF">
      <w:pPr>
        <w:spacing w:after="0" w:line="240" w:lineRule="auto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 xml:space="preserve"> \/\_____\  \ \_\ \_\  \ \_\ \_\  \ \_\ \_\  \ \_\ \_\  \ \_\    \ \_\ \_\  \ \_\  \ \_\\"\_\</w:t>
      </w:r>
    </w:p>
    <w:p w14:paraId="44AEDB57" w14:textId="4F112399" w:rsidR="0021352F" w:rsidRPr="00B17A11" w:rsidRDefault="00F31FFF" w:rsidP="00F31FFF">
      <w:pPr>
        <w:spacing w:after="0" w:line="240" w:lineRule="auto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 xml:space="preserve">  \/_____/   \/_/\/_/   \/_/\/_/   \/_/ /_/   \/_/\/_/   \/_/     \/_/\/_/   \/_/   \/_/ \/_/</w:t>
      </w:r>
    </w:p>
    <w:p w14:paraId="5F8F83D0" w14:textId="2B150389" w:rsidR="00426EC5" w:rsidRPr="00B17A11" w:rsidRDefault="00317C8D" w:rsidP="00386113">
      <w:pPr>
        <w:spacing w:after="0" w:line="240" w:lineRule="auto"/>
        <w:jc w:val="right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  <w:proofErr w:type="spellStart"/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>Artezza</w:t>
      </w:r>
      <w:proofErr w:type="spellEnd"/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>Sharkphin</w:t>
      </w:r>
      <w:proofErr w:type="spellEnd"/>
      <w:r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 w:rsidR="00386113" w:rsidRPr="00B17A11"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  <w:t>By Benjamin Jaros and Madeline Susemiehl</w:t>
      </w:r>
    </w:p>
    <w:p w14:paraId="480B02C7" w14:textId="6976690D" w:rsidR="00386113" w:rsidRPr="00B17A11" w:rsidRDefault="00386113" w:rsidP="00386113">
      <w:pPr>
        <w:spacing w:after="0" w:line="240" w:lineRule="auto"/>
        <w:jc w:val="right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</w:p>
    <w:p w14:paraId="7EA912FA" w14:textId="3749F94E" w:rsidR="00386113" w:rsidRPr="00B17A11" w:rsidRDefault="00386113" w:rsidP="00386113">
      <w:pPr>
        <w:spacing w:after="0" w:line="240" w:lineRule="auto"/>
        <w:jc w:val="right"/>
        <w:rPr>
          <w:rFonts w:ascii="Consolas" w:eastAsia="Times New Roman" w:hAnsi="Consolas" w:cs="Times New Roman"/>
          <w:b/>
          <w:bCs/>
          <w:color w:val="1F3864" w:themeColor="accent1" w:themeShade="80"/>
          <w:sz w:val="28"/>
          <w:szCs w:val="28"/>
        </w:rPr>
      </w:pPr>
    </w:p>
    <w:p w14:paraId="2BEE022C" w14:textId="4FB53456" w:rsidR="00386113" w:rsidRPr="00B17A11" w:rsidRDefault="00EC6348" w:rsidP="00386113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Goals:</w:t>
      </w:r>
    </w:p>
    <w:p w14:paraId="0607F679" w14:textId="5115A59C" w:rsidR="00B90555" w:rsidRPr="00B17A11" w:rsidRDefault="00EC6348" w:rsidP="00386113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ab/>
      </w:r>
      <w:r w:rsidR="003C4EE0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Even with the best spam filtering systems, it is inevitable that eventually malicious emails will enter an organization. </w:t>
      </w:r>
      <w:r w:rsidR="002C43C0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Once a malicious email is identified, </w:t>
      </w:r>
      <w:proofErr w:type="spellStart"/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Sharkphin</w:t>
      </w:r>
      <w:proofErr w:type="spellEnd"/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enables </w:t>
      </w:r>
      <w:r w:rsidR="003C4EE0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365 administrators o</w:t>
      </w:r>
      <w:r w:rsidR="002C43C0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f</w:t>
      </w:r>
      <w:r w:rsidR="003C4EE0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all skill levels to quickly </w:t>
      </w:r>
      <w:r w:rsidR="00EA48F5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search the organization’s mailboxes for similar messages </w:t>
      </w:r>
      <w:r w:rsidR="00E5369F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and safely remove them from the environment </w:t>
      </w:r>
      <w:r w:rsidR="00F60D3A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before they can be opened </w:t>
      </w:r>
      <w:r w:rsidR="00E5369F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and prevent further messages</w:t>
      </w:r>
      <w:r w:rsidR="00F60D3A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from the same source</w:t>
      </w:r>
      <w:r w:rsidR="00E5369F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.</w:t>
      </w:r>
      <w:r w:rsidR="00085AF1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="00085AF1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Sharkphin</w:t>
      </w:r>
      <w:proofErr w:type="spellEnd"/>
      <w:r w:rsidR="00085AF1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accomplishes this by offering a straightforward interface that </w:t>
      </w:r>
      <w:r w:rsidR="00F10E55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utilizes PowerShell to </w:t>
      </w:r>
      <w:r w:rsidR="00190531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bring multiple security actions together. </w:t>
      </w:r>
      <w:r w:rsidR="00FE55AD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Without </w:t>
      </w:r>
      <w:proofErr w:type="spellStart"/>
      <w:r w:rsidR="00FE55AD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Sharkphin</w:t>
      </w:r>
      <w:proofErr w:type="spellEnd"/>
      <w:r w:rsidR="00FE55AD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, administrators </w:t>
      </w:r>
      <w:r w:rsidR="003724DC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would need to manually login to various pages in the Security and Compliance portals</w:t>
      </w:r>
      <w:r w:rsidR="002D1E7D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to accomplish the same tasks</w:t>
      </w:r>
      <w:r w:rsidR="00A35E2E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, </w:t>
      </w:r>
      <w:r w:rsidR="005038EA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costing additional time and risk that other users will open the malicious package.</w:t>
      </w:r>
    </w:p>
    <w:p w14:paraId="40428759" w14:textId="534F35DA" w:rsidR="00B90555" w:rsidRPr="00B17A11" w:rsidRDefault="00B90555" w:rsidP="00386113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</w:p>
    <w:p w14:paraId="20D1C1D7" w14:textId="49BBE070" w:rsidR="00B90555" w:rsidRPr="00B17A11" w:rsidRDefault="00B90555" w:rsidP="00386113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Training and Distribution:</w:t>
      </w:r>
    </w:p>
    <w:p w14:paraId="479DFD22" w14:textId="052E2CFF" w:rsidR="00B90555" w:rsidRPr="00B17A11" w:rsidRDefault="00B90555" w:rsidP="00386113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ab/>
      </w:r>
      <w:r w:rsidR="007C567D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The EXE package allows the script to be easily transferred to new computers or sent to new </w:t>
      </w:r>
      <w:r w:rsidR="00CE3C50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members of the support team</w:t>
      </w:r>
      <w:r w:rsidR="0020745F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who may </w:t>
      </w:r>
      <w:r w:rsidR="00731BFA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have little to no </w:t>
      </w:r>
      <w:r w:rsidR="0020745F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experience running PowerShell scripts</w:t>
      </w:r>
      <w:r w:rsidR="00CE3C50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. While caution should always </w:t>
      </w:r>
      <w:r w:rsidR="00C332CE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be exercised when removing data in bulk, </w:t>
      </w:r>
      <w:proofErr w:type="spellStart"/>
      <w:r w:rsidR="00C332CE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Sharkphin</w:t>
      </w:r>
      <w:proofErr w:type="spellEnd"/>
      <w:r w:rsidR="00C332CE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</w:t>
      </w:r>
      <w:r w:rsidR="00A65189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is configured to soft-delete spam messages. This reduces the risk of an </w:t>
      </w:r>
      <w:r w:rsidR="009540E9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analyst</w:t>
      </w:r>
      <w:r w:rsidR="00A65189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accidentally </w:t>
      </w:r>
      <w:r w:rsidR="009540E9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removing important information permanently, while still empowering a fast and meaningful first response.</w:t>
      </w:r>
      <w:r w:rsidR="000D5713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</w:t>
      </w:r>
      <w:r w:rsidR="0079031E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While this interface makes security actions more readily available, i</w:t>
      </w:r>
      <w:r w:rsidR="000D5713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t is</w:t>
      </w:r>
      <w:r w:rsidR="0079031E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always</w:t>
      </w:r>
      <w:r w:rsidR="000D5713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the responsibility of the administrator running the tool to understand</w:t>
      </w:r>
      <w:r w:rsidR="0079031E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 the implications</w:t>
      </w:r>
      <w:r w:rsidR="00E92E4C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. </w:t>
      </w:r>
      <w:r w:rsidR="006528D5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It is of course recommended that a more experienced technician shadow a </w:t>
      </w:r>
      <w:r w:rsidR="00715C1A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help desk analyst running the tool for the first time before asking new help desk members to run the tool on their own.</w:t>
      </w:r>
    </w:p>
    <w:p w14:paraId="5780E9DC" w14:textId="079871BF" w:rsidR="00BC6800" w:rsidRPr="00B17A11" w:rsidRDefault="00BC6800" w:rsidP="00386113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</w:p>
    <w:p w14:paraId="7E50512C" w14:textId="6925F479" w:rsidR="00BC6800" w:rsidRPr="00B17A11" w:rsidRDefault="0062020C" w:rsidP="00386113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Features:</w:t>
      </w:r>
    </w:p>
    <w:p w14:paraId="0CCAC13D" w14:textId="7F81ABEF" w:rsidR="0062020C" w:rsidRPr="00B17A11" w:rsidRDefault="0062020C" w:rsidP="0062020C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0.2.1</w:t>
      </w:r>
    </w:p>
    <w:p w14:paraId="2CADF9C5" w14:textId="7464BC7E" w:rsidR="0062020C" w:rsidRPr="00B17A11" w:rsidRDefault="00F018A9" w:rsidP="0062020C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Create a content search (</w:t>
      </w:r>
      <w:r w:rsidR="00C92684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C</w:t>
      </w: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ompliance </w:t>
      </w:r>
      <w:r w:rsidR="00C92684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C</w:t>
      </w: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enter feature) given the sender and subject of a malicious </w:t>
      </w:r>
      <w:proofErr w:type="gramStart"/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message</w:t>
      </w:r>
      <w:proofErr w:type="gramEnd"/>
    </w:p>
    <w:p w14:paraId="3C9525D4" w14:textId="68CB71B7" w:rsidR="00F018A9" w:rsidRPr="00B17A11" w:rsidRDefault="00130A63" w:rsidP="0062020C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Monitor the progress of the search and </w:t>
      </w:r>
      <w:r w:rsidR="00E33813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offer to delete the items found in the </w:t>
      </w:r>
      <w:proofErr w:type="gramStart"/>
      <w:r w:rsidR="00E33813"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search</w:t>
      </w:r>
      <w:proofErr w:type="gramEnd"/>
    </w:p>
    <w:p w14:paraId="5FD66680" w14:textId="57A02EB9" w:rsidR="00E33813" w:rsidRPr="00B17A11" w:rsidRDefault="00C92684" w:rsidP="0062020C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Add a malicious domain to the tenant Allow/Block List (Security Center feature)</w:t>
      </w:r>
    </w:p>
    <w:p w14:paraId="372D6046" w14:textId="3DBBF033" w:rsidR="00C92684" w:rsidRPr="00B17A11" w:rsidRDefault="00C92684" w:rsidP="0062020C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Add a malicious email address to the tenant Allow/Block List (Security Center feature)</w:t>
      </w:r>
    </w:p>
    <w:p w14:paraId="6DFAB69B" w14:textId="78BB006A" w:rsidR="0069679A" w:rsidRPr="00B17A11" w:rsidRDefault="0069679A" w:rsidP="0069679A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</w:p>
    <w:p w14:paraId="3D5D8F71" w14:textId="7F6F775A" w:rsidR="0069679A" w:rsidRPr="00B17A11" w:rsidRDefault="0069679A" w:rsidP="0069679A">
      <w:p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Proposed Features:</w:t>
      </w:r>
    </w:p>
    <w:p w14:paraId="7242BB01" w14:textId="5736ECD9" w:rsidR="0069679A" w:rsidRPr="00B17A11" w:rsidRDefault="0069679A" w:rsidP="0069679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Additional search options</w:t>
      </w:r>
    </w:p>
    <w:p w14:paraId="71291C64" w14:textId="0ED1A695" w:rsidR="0069679A" w:rsidRPr="00B17A11" w:rsidRDefault="00641F5C" w:rsidP="0069679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 xml:space="preserve">Add file hash to block </w:t>
      </w:r>
      <w:proofErr w:type="gramStart"/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list</w:t>
      </w:r>
      <w:proofErr w:type="gramEnd"/>
    </w:p>
    <w:p w14:paraId="1BF06079" w14:textId="41111A48" w:rsidR="00641F5C" w:rsidRPr="00B17A11" w:rsidRDefault="00641F5C" w:rsidP="0069679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color w:val="1F3864" w:themeColor="accent1" w:themeShade="80"/>
          <w:sz w:val="32"/>
          <w:szCs w:val="32"/>
        </w:rPr>
      </w:pPr>
      <w:r w:rsidRPr="00B17A11">
        <w:rPr>
          <w:rFonts w:ascii="Consolas" w:hAnsi="Consolas"/>
          <w:b/>
          <w:bCs/>
          <w:color w:val="1F3864" w:themeColor="accent1" w:themeShade="80"/>
          <w:sz w:val="32"/>
          <w:szCs w:val="32"/>
        </w:rPr>
        <w:t>EML analyzer</w:t>
      </w:r>
    </w:p>
    <w:p w14:paraId="482A0B48" w14:textId="4AB20823" w:rsidR="00342871" w:rsidRPr="00997D3F" w:rsidRDefault="00342871" w:rsidP="00342871">
      <w:pPr>
        <w:spacing w:after="0" w:line="240" w:lineRule="auto"/>
        <w:rPr>
          <w:rFonts w:ascii="Consolas" w:hAnsi="Consolas"/>
          <w:b/>
          <w:bCs/>
          <w:color w:val="2F5496" w:themeColor="accent1" w:themeShade="BF"/>
          <w:sz w:val="32"/>
          <w:szCs w:val="32"/>
        </w:rPr>
      </w:pPr>
    </w:p>
    <w:p w14:paraId="2AEEF431" w14:textId="2C1ACE99" w:rsidR="00342871" w:rsidRPr="00997D3F" w:rsidRDefault="00342871" w:rsidP="00342871">
      <w:pPr>
        <w:spacing w:after="0" w:line="240" w:lineRule="auto"/>
        <w:rPr>
          <w:rFonts w:ascii="Consolas" w:hAnsi="Consolas"/>
          <w:b/>
          <w:bCs/>
          <w:color w:val="2F5496" w:themeColor="accent1" w:themeShade="BF"/>
          <w:sz w:val="32"/>
          <w:szCs w:val="32"/>
        </w:rPr>
      </w:pPr>
    </w:p>
    <w:p w14:paraId="1B749269" w14:textId="300BDB22" w:rsidR="00342871" w:rsidRPr="00997D3F" w:rsidRDefault="00000000" w:rsidP="00342871">
      <w:pPr>
        <w:spacing w:after="0" w:line="240" w:lineRule="auto"/>
        <w:jc w:val="center"/>
        <w:rPr>
          <w:rFonts w:ascii="Consolas" w:hAnsi="Consolas"/>
          <w:b/>
          <w:bCs/>
          <w:color w:val="ED7D31" w:themeColor="accent2"/>
          <w:sz w:val="32"/>
          <w:szCs w:val="32"/>
        </w:rPr>
      </w:pPr>
      <w:hyperlink r:id="rId5" w:history="1">
        <w:r w:rsidR="00342871" w:rsidRPr="00997D3F">
          <w:rPr>
            <w:rStyle w:val="Hyperlink"/>
            <w:rFonts w:ascii="Consolas" w:hAnsi="Consolas"/>
            <w:b/>
            <w:bCs/>
            <w:color w:val="ED7D31" w:themeColor="accent2"/>
            <w:sz w:val="32"/>
            <w:szCs w:val="32"/>
            <w:u w:val="none"/>
          </w:rPr>
          <w:t>An open-source project from Artezza.io</w:t>
        </w:r>
      </w:hyperlink>
    </w:p>
    <w:sectPr w:rsidR="00342871" w:rsidRPr="0099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BD9"/>
    <w:multiLevelType w:val="hybridMultilevel"/>
    <w:tmpl w:val="86B2E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841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F"/>
    <w:rsid w:val="00085AF1"/>
    <w:rsid w:val="000D5713"/>
    <w:rsid w:val="00130A63"/>
    <w:rsid w:val="00154BB3"/>
    <w:rsid w:val="00190531"/>
    <w:rsid w:val="0020745F"/>
    <w:rsid w:val="0021352F"/>
    <w:rsid w:val="00246331"/>
    <w:rsid w:val="002C43C0"/>
    <w:rsid w:val="002D1E7D"/>
    <w:rsid w:val="00317C8D"/>
    <w:rsid w:val="00342871"/>
    <w:rsid w:val="003724DC"/>
    <w:rsid w:val="00386113"/>
    <w:rsid w:val="003C40EF"/>
    <w:rsid w:val="003C4EE0"/>
    <w:rsid w:val="003E21FB"/>
    <w:rsid w:val="00426EC5"/>
    <w:rsid w:val="005038EA"/>
    <w:rsid w:val="0062020C"/>
    <w:rsid w:val="00641F5C"/>
    <w:rsid w:val="006528D5"/>
    <w:rsid w:val="0069679A"/>
    <w:rsid w:val="00715C1A"/>
    <w:rsid w:val="00731BFA"/>
    <w:rsid w:val="0079031E"/>
    <w:rsid w:val="007C4D49"/>
    <w:rsid w:val="007C567D"/>
    <w:rsid w:val="009540E9"/>
    <w:rsid w:val="00997D3F"/>
    <w:rsid w:val="00A33333"/>
    <w:rsid w:val="00A35E2E"/>
    <w:rsid w:val="00A65189"/>
    <w:rsid w:val="00B17A11"/>
    <w:rsid w:val="00B90555"/>
    <w:rsid w:val="00BC6800"/>
    <w:rsid w:val="00C332CE"/>
    <w:rsid w:val="00C92684"/>
    <w:rsid w:val="00CE3C50"/>
    <w:rsid w:val="00CF51C6"/>
    <w:rsid w:val="00D30DF6"/>
    <w:rsid w:val="00D64499"/>
    <w:rsid w:val="00D97823"/>
    <w:rsid w:val="00E33813"/>
    <w:rsid w:val="00E5369F"/>
    <w:rsid w:val="00E92E4C"/>
    <w:rsid w:val="00EA48F5"/>
    <w:rsid w:val="00EC6348"/>
    <w:rsid w:val="00F018A9"/>
    <w:rsid w:val="00F10E55"/>
    <w:rsid w:val="00F31FFF"/>
    <w:rsid w:val="00F60D3A"/>
    <w:rsid w:val="00F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1410"/>
  <w15:chartTrackingRefBased/>
  <w15:docId w15:val="{36855188-1306-497B-A11C-E926BB0B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ezza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Sharkphin - Artezza</dc:title>
  <dc:subject/>
  <dc:creator>Benjamin Jaros</dc:creator>
  <cp:keywords/>
  <dc:description/>
  <cp:lastModifiedBy>Benjamin Jaros</cp:lastModifiedBy>
  <cp:revision>3</cp:revision>
  <dcterms:created xsi:type="dcterms:W3CDTF">2023-02-12T19:51:00Z</dcterms:created>
  <dcterms:modified xsi:type="dcterms:W3CDTF">2023-02-12T19:51:00Z</dcterms:modified>
</cp:coreProperties>
</file>