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e659a6c619b4a93" /><Relationship Type="http://schemas.openxmlformats.org/package/2006/relationships/metadata/core-properties" Target="/docProps/core.xml" Id="R968928a9528342be" /><Relationship Type="http://schemas.openxmlformats.org/officeDocument/2006/relationships/extended-properties" Target="/docProps/app.xml" Id="R631ff056134c4530" /><Relationship Type="http://schemas.openxmlformats.org/officeDocument/2006/relationships/custom-properties" Target="/docProps/custom.xml" Id="Raccc80a7b46d4c2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240"/>
        <w:jc w:val="center"/>
      </w:pPr>
      <w:r>
        <w:rPr>
          <w:b/>
          <w:sz w:val="44"/>
        </w:rPr>
        <w:t xml:space="preserve">Mall Customer Intelligence — Project Report</w:t>
      </w:r>
    </w:p>
    <w:p w14:paraId="00100002" w14:textId="00100003">
      <w:pPr>
        <w:spacing w:after="400"/>
        <w:jc w:val="center"/>
      </w:pPr>
      <w:r>
        <w:rPr>
          <w:color w:val="57606A"/>
          <w:sz w:val="22"/>
        </w:rPr>
        <w:t xml:space="preserve">A Business Intelligence &amp; Analytics Report | Dataset: Mall_Customers.csv</w:t>
      </w:r>
    </w:p>
    <w:p w14:paraId="00100004" w14:textId="00100005">
      <w:pPr>
        <w:pStyle w:val="Heading1"/>
        <w:spacing w:after="160"/>
      </w:pPr>
      <w:r>
        <w:rPr>
          <w:b/>
          <w:sz w:val="32"/>
        </w:rPr>
        <w:t xml:space="preserve">1. Executive Summary</w:t>
      </w:r>
    </w:p>
    <w:p w14:paraId="00100006" w14:textId="00100007">
      <w:pPr>
        <w:spacing w:after="200"/>
      </w:pPr>
      <w:r>
        <w:rPr>
          <w:sz w:val="22"/>
        </w:rPr>
        <w:t xml:space="preserve">This report presents a complete business intelligence analysis of 200 mall customers. Using K-Means clustering, demographic analysis, and spending driver investigation, we identify five distinct customer segments, quantify key risks, and generate evidence-based strategic recommendations. The near-zero correlation between income and spending score (r ≈ 0.01) is the headline finding — it confirms that psychographic segmentation outperforms income-based targeting.</w:t>
      </w:r>
    </w:p>
    <w:p w14:paraId="00100008" w14:textId="00100009">
      <w:pPr>
        <w:pStyle w:val="Heading1"/>
        <w:spacing w:after="160"/>
      </w:pPr>
      <w:r>
        <w:rPr>
          <w:b/>
          <w:sz w:val="32"/>
        </w:rPr>
        <w:t xml:space="preserve">2. Dataset Overview</w:t>
      </w:r>
    </w:p>
    <w:p w14:paraId="0010000A" w14:textId="0010000B">
      <w:pPr>
        <w:spacing w:after="160"/>
      </w:pPr>
      <w:r>
        <w:rPr>
          <w:sz w:val="22"/>
        </w:rPr>
        <w:t xml:space="preserve">Source File: Mall_Customers.csv  |  Total Records: 200  |  Features: 5  |  Missing Values: 0  |  Duplicates: 0</w:t>
      </w:r>
    </w:p>
    <w:p w14:paraId="0010000C" w14:textId="0010000D">
      <w:pPr>
        <w:pStyle w:val="Heading2"/>
        <w:spacing w:after="120"/>
      </w:pPr>
      <w:r>
        <w:rPr>
          <w:b/>
          <w:sz w:val="28"/>
        </w:rPr>
        <w:t xml:space="preserve">2.1 Data Dictionary</w:t>
      </w:r>
    </w:p>
    <w:tbl>
      <w:tblPr>
        <w:tblW w:w="8306" w:type="dxa"/>
        <w:tblBorders>
          <w:top w:val="single" w:sz="4"/>
          <w:left w:val="single" w:sz="4"/>
          <w:bottom w:val="single" w:sz="4"/>
          <w:right w:val="single" w:sz="4"/>
          <w:insideH w:val="single" w:sz="4"/>
          <w:insideV w:val="single" w:sz="4"/>
        </w:tblBorders>
      </w:tblPr>
      <w:tblGrid>
        <w:gridCol w:w="8306"/>
      </w:tblGrid>
      <w:tr>
        <w:trPr>
          <w:tblHeader/>
        </w:trPr>
        <w:tc>
          <w:p w14:paraId="0010000E" w14:textId="0010000F">
            <w:r>
              <w:t xml:space="preserve">Column Name | Data Type | Range / Values | Description</w:t>
            </w:r>
          </w:p>
        </w:tc>
      </w:tr>
    </w:tbl>
    <w:p w14:paraId="00100010" w14:textId="00100011">
      <w:pPr>
        <w:spacing w:after="80"/>
      </w:pPr>
      <w:r>
        <w:rPr>
          <w:b/>
          <w:sz w:val="22"/>
        </w:rPr>
        <w:t xml:space="preserve">Column | Type | Range | Description</w:t>
      </w:r>
    </w:p>
    <w:p w14:paraId="00100012" w14:textId="00100013">
      <w:pPr>
        <w:spacing w:after="40"/>
      </w:pPr>
      <w:r>
        <w:rPr>
          <w:sz w:val="22"/>
        </w:rPr>
        <w:t xml:space="preserve">CustomerID | Integer | 1-200 | Unique customer identifier (primary key)</w:t>
      </w:r>
    </w:p>
    <w:p w14:paraId="00100014" w14:textId="00100015">
      <w:pPr>
        <w:spacing w:after="40"/>
      </w:pPr>
      <w:r>
        <w:rPr>
          <w:sz w:val="22"/>
        </w:rPr>
        <w:t xml:space="preserve">Gender | Categorical | Male, Female | Customer gender (88 Male, 112 Female)</w:t>
      </w:r>
    </w:p>
    <w:p w14:paraId="00100016" w14:textId="00100017">
      <w:pPr>
        <w:spacing w:after="40"/>
      </w:pPr>
      <w:r>
        <w:rPr>
          <w:sz w:val="22"/>
        </w:rPr>
        <w:t xml:space="preserve">Age | Integer | 18-70 (mean 38.85) | Customer age in years</w:t>
      </w:r>
    </w:p>
    <w:p w14:paraId="00100018" w14:textId="00100019">
      <w:pPr>
        <w:spacing w:after="40"/>
      </w:pPr>
      <w:r>
        <w:rPr>
          <w:sz w:val="22"/>
        </w:rPr>
        <w:t xml:space="preserve">Annual Income (k$) | Float | $15k-$137k (mean $60.56k) | Annual income in thousands USD</w:t>
      </w:r>
    </w:p>
    <w:p w14:paraId="0010001A" w14:textId="0010001B">
      <w:pPr>
        <w:spacing w:after="240"/>
      </w:pPr>
      <w:r>
        <w:rPr>
          <w:sz w:val="22"/>
        </w:rPr>
        <w:t xml:space="preserve">Spending Score (1-100) | Float | 1-99 (mean 50.2) | Mall-assigned spending propensity score</w:t>
      </w:r>
    </w:p>
    <w:p w14:paraId="0010001C" w14:textId="0010001D">
      <w:pPr>
        <w:pStyle w:val="Heading1"/>
        <w:spacing w:after="160"/>
      </w:pPr>
      <w:r>
        <w:rPr>
          <w:b/>
          <w:sz w:val="32"/>
        </w:rPr>
        <w:t xml:space="preserve">3. Data Quality Assessment</w:t>
      </w:r>
    </w:p>
    <w:p w14:paraId="0010001E" w14:textId="0010001F">
      <w:pPr>
        <w:spacing w:after="160"/>
      </w:pPr>
      <w:r>
        <w:rPr>
          <w:sz w:val="22"/>
        </w:rPr>
        <w:t xml:space="preserve">Missing Values: 0 (0.0%)  |  Duplicate Records: 0  |  Outliers: None detected (all values in valid range)  |  Data Quality Score: 100%</w:t>
      </w:r>
    </w:p>
    <w:p w14:paraId="00100020" w14:textId="00100021">
      <w:pPr>
        <w:spacing w:after="200"/>
      </w:pPr>
      <w:r>
        <w:rPr>
          <w:sz w:val="22"/>
        </w:rPr>
        <w:t xml:space="preserve">The dataset is clean with no preprocessing required beyond column renaming for programmatic access. All values are within logical bounds (age 18-70, income $15k-$137k, spending score 1-99). No imputation or removal was necessary.</w:t>
      </w:r>
    </w:p>
    <w:p w14:paraId="00100022" w14:textId="00100023">
      <w:pPr>
        <w:pStyle w:val="Heading1"/>
        <w:spacing w:after="160"/>
      </w:pPr>
      <w:r>
        <w:rPr>
          <w:b/>
          <w:sz w:val="32"/>
        </w:rPr>
        <w:t xml:space="preserve">4. Exploratory Data Analysis (EDA)</w:t>
      </w:r>
    </w:p>
    <w:p w14:paraId="00100024" w14:textId="00100025">
      <w:pPr>
        <w:pStyle w:val="Heading2"/>
        <w:spacing w:after="120"/>
      </w:pPr>
      <w:r>
        <w:rPr>
          <w:b/>
          <w:sz w:val="28"/>
        </w:rPr>
        <w:t xml:space="preserve">4.1 Descriptive Statistics</w:t>
      </w:r>
    </w:p>
    <w:p w14:paraId="00100026" w14:textId="00100027">
      <w:pPr>
        <w:spacing w:after="160"/>
      </w:pPr>
      <w:r>
        <w:rPr>
          <w:sz w:val="22"/>
        </w:rPr>
        <w:t xml:space="preserve">Age: Min=18, Max=70, Mean=38.85, Median=36, Std≈13.97 | Annual Income: Min=$15k, Max=$137k, Mean=$60.56k, Median=$61.5k, Std≈26.26k | Spending Score: Min=1, Max=99, Mean=50.2, Median=50, Std≈25.82</w:t>
      </w:r>
    </w:p>
    <w:p w14:paraId="00100028" w14:textId="00100029">
      <w:pPr>
        <w:pStyle w:val="Heading2"/>
        <w:spacing w:after="120"/>
      </w:pPr>
      <w:r>
        <w:rPr>
          <w:b/>
          <w:sz w:val="28"/>
        </w:rPr>
        <w:t xml:space="preserve">4.2 Gender Distribution</w:t>
      </w:r>
    </w:p>
    <w:p w14:paraId="0010002A" w14:textId="0010002B">
      <w:pPr>
        <w:spacing w:after="160"/>
      </w:pPr>
      <w:r>
        <w:rPr>
          <w:sz w:val="22"/>
        </w:rPr>
        <w:t xml:space="preserve">Female: 112 customers (56.0%) | Male: 88 customers (44.0%). Female customers have a slightly higher average spending score (51.5 vs 48.5), confirming they are both the majority demographic and the more active spenders.</w:t>
      </w:r>
    </w:p>
    <w:p w14:paraId="0010002C" w14:textId="0010002D">
      <w:pPr>
        <w:pStyle w:val="Heading2"/>
        <w:spacing w:after="120"/>
      </w:pPr>
      <w:r>
        <w:rPr>
          <w:b/>
          <w:sz w:val="28"/>
        </w:rPr>
        <w:t xml:space="preserve">4.3 Age Group Analysis</w:t>
      </w:r>
    </w:p>
    <w:p w14:paraId="0010002E" w14:textId="0010002F">
      <w:pPr>
        <w:spacing w:after="160"/>
      </w:pPr>
      <w:r>
        <w:rPr>
          <w:sz w:val="22"/>
        </w:rPr>
        <w:t xml:space="preserve">18-25: Highest avg spending score (~64). 26-35: Second highest (~55). 36-45: Near average (~43). 46-55: Below average (~40). 56+: Lowest spending (~36). This monotonic decrease highlights age as a moderate negative spending driver (r ≈ -0.33).</w:t>
      </w:r>
    </w:p>
    <w:p w14:paraId="00100030" w14:textId="00100031">
      <w:pPr>
        <w:pStyle w:val="Heading2"/>
        <w:spacing w:after="120"/>
      </w:pPr>
      <w:r>
        <w:rPr>
          <w:b/>
          <w:sz w:val="28"/>
        </w:rPr>
        <w:t xml:space="preserve">4.4 Correlation Analysis</w:t>
      </w:r>
    </w:p>
    <w:p w14:paraId="00100032" w14:textId="00100033">
      <w:pPr>
        <w:spacing w:after="200"/>
      </w:pPr>
      <w:r>
        <w:rPr>
          <w:sz w:val="22"/>
        </w:rPr>
        <w:t xml:space="preserve">Income vs Spending Score: r ≈ 0.010 (near-zero — income does NOT predict spending). Age vs Spending Score: r ≈ -0.327 (moderate negative — older customers spend less). This is the critical analytical finding: income-based segmentation would be ineffective; cluster-based segmentation is required.</w:t>
      </w:r>
    </w:p>
    <w:p w14:paraId="00100034" w14:textId="00100035">
      <w:pPr>
        <w:pStyle w:val="Heading1"/>
        <w:spacing w:after="160"/>
      </w:pPr>
      <w:r>
        <w:rPr>
          <w:b/>
          <w:sz w:val="32"/>
        </w:rPr>
        <w:t xml:space="preserve">5. Key Performance Indicators (KPIs)</w:t>
      </w:r>
    </w:p>
    <w:p w14:paraId="00100036" w14:textId="00100037">
      <w:pPr>
        <w:spacing w:after="120"/>
      </w:pPr>
      <w:r>
        <w:rPr>
          <w:sz w:val="22"/>
        </w:rPr>
        <w:t xml:space="preserve">All KPI values are computed dynamically from the dataset. No values are hardcoded in the application.</w:t>
      </w:r>
    </w:p>
    <w:p w14:paraId="00100038" w14:textId="00100039">
      <w:pPr>
        <w:spacing w:after="200"/>
      </w:pPr>
      <w:r>
        <w:rPr>
          <w:sz w:val="22"/>
        </w:rPr>
        <w:t xml:space="preserve">Total Customers: 200 | Average Annual Income: $60.56k | Average Spending Score: 50.2/100 | Female Share: 56.0% | Average Age: 38.85 years | High-Value Customers (high income + high spend): ~25% | Affluent Savers (high income, low spend): ~25% | Income-Spending Correlation: 0.010</w:t>
      </w:r>
    </w:p>
    <w:p w14:paraId="0010003A" w14:textId="0010003B">
      <w:pPr>
        <w:pStyle w:val="Heading1"/>
        <w:spacing w:after="160"/>
      </w:pPr>
      <w:r>
        <w:rPr>
          <w:b/>
          <w:sz w:val="32"/>
        </w:rPr>
        <w:t xml:space="preserve">6. Customer Segmentation — K-Means Clustering</w:t>
      </w:r>
    </w:p>
    <w:p w14:paraId="0010003C" w14:textId="0010003D">
      <w:pPr>
        <w:pStyle w:val="Heading2"/>
        <w:spacing w:after="120"/>
      </w:pPr>
      <w:r>
        <w:rPr>
          <w:b/>
          <w:sz w:val="28"/>
        </w:rPr>
        <w:t xml:space="preserve">6.1 Methodology</w:t>
      </w:r>
    </w:p>
    <w:p w14:paraId="0010003E" w14:textId="0010003F">
      <w:pPr>
        <w:spacing w:after="160"/>
      </w:pPr>
      <w:r>
        <w:rPr>
          <w:sz w:val="22"/>
        </w:rPr>
        <w:t xml:space="preserve">Algorithm: K-Means (k=5) | Features: Annual Income (k$), Spending Score (1-100) | Preprocessing: StandardScaler normalization | Initialization: k-means++ with n_init=20, random_state=42 | Validation: Silhouette Score + Elbow Method | Optimal k: 5 (validated by elbow curve inflection point)</w:t>
      </w:r>
    </w:p>
    <w:p w14:paraId="00100040" w14:textId="00100041">
      <w:pPr>
        <w:pStyle w:val="Heading2"/>
        <w:spacing w:after="120"/>
      </w:pPr>
      <w:r>
        <w:rPr>
          <w:b/>
          <w:sz w:val="28"/>
        </w:rPr>
        <w:t xml:space="preserve">6.2 Segment Profiles</w:t>
      </w:r>
    </w:p>
    <w:p w14:paraId="00100042" w14:textId="00100043">
      <w:pPr>
        <w:spacing w:after="120"/>
      </w:pPr>
      <w:r>
        <w:rPr>
          <w:sz w:val="22"/>
        </w:rPr>
        <w:t xml:space="preserve">The five K-Means clusters are named based on their income/spending quadrant relative to the dataset medians (Income Median ≈ $61.5k, Spending Median ≈ 50):</w:t>
      </w:r>
    </w:p>
    <w:p w14:paraId="00100044" w14:textId="00100045">
      <w:pPr>
        <w:numPr>
          <w:ilvl w:val="0"/>
          <w:numId w:val="1"/>
        </w:numPr>
        <w:spacing w:after="80"/>
      </w:pPr>
      <w:r>
        <w:rPr>
          <w:sz w:val="22"/>
        </w:rPr>
        <w:t xml:space="preserve">1. High-Value Loyalists — High income, High spending. The top revenue segment. Avg income ~$86k, avg spend score ~82. These are the mall's premium customers who deserve VIP treatment and retention focus.</w:t>
      </w:r>
    </w:p>
    <w:p w14:paraId="00100046" w14:textId="00100047">
      <w:pPr>
        <w:numPr>
          <w:ilvl w:val="0"/>
          <w:numId w:val="1"/>
        </w:numPr>
        <w:spacing w:after="80"/>
      </w:pPr>
      <w:r>
        <w:rPr>
          <w:sz w:val="22"/>
        </w:rPr>
        <w:t xml:space="preserve">2. Affluent Savers — High income, Low spending. Avg income ~$87k, avg spend score ~18. Despite significant purchasing power, these customers are disengaged. Largest untapped revenue opportunity.</w:t>
      </w:r>
    </w:p>
    <w:p w14:paraId="00100048" w14:textId="00100049">
      <w:pPr>
        <w:numPr>
          <w:ilvl w:val="0"/>
          <w:numId w:val="1"/>
        </w:numPr>
        <w:spacing w:after="80"/>
      </w:pPr>
      <w:r>
        <w:rPr>
          <w:sz w:val="22"/>
        </w:rPr>
        <w:t xml:space="preserve">3. Budget Enthusiasts — Low income, High spending. Avg income ~$26k, avg spend score ~78. These customers actively want to spend despite limited income. Respond well to value deals and instalment offers.</w:t>
      </w:r>
    </w:p>
    <w:p w14:paraId="0010004A" w14:textId="0010004B">
      <w:pPr>
        <w:numPr>
          <w:ilvl w:val="0"/>
          <w:numId w:val="1"/>
        </w:numPr>
        <w:spacing w:after="80"/>
      </w:pPr>
      <w:r>
        <w:rPr>
          <w:sz w:val="22"/>
        </w:rPr>
        <w:t xml:space="preserve">4. Low-Engagement Group — Low income, Low spending. Avg income ~$26k, avg spend score ~22. The at-risk churn segment with limited immediate revenue potential.</w:t>
      </w:r>
    </w:p>
    <w:p w14:paraId="0010004C" w14:textId="0010004D">
      <w:pPr>
        <w:numPr>
          <w:ilvl w:val="0"/>
          <w:numId w:val="1"/>
        </w:numPr>
        <w:spacing w:after="200"/>
      </w:pPr>
      <w:r>
        <w:rPr>
          <w:sz w:val="22"/>
        </w:rPr>
        <w:t xml:space="preserve">5. Average Shoppers — Mid income, Mid spending. The largest cluster. Avg income ~$55k, avg spend score ~50. Represents the core mainstream customer base with upsell potential.</w:t>
      </w:r>
    </w:p>
    <w:p w14:paraId="0010004E" w14:textId="0010004F">
      <w:pPr>
        <w:pStyle w:val="Heading1"/>
        <w:spacing w:after="160"/>
      </w:pPr>
      <w:r>
        <w:rPr>
          <w:b/>
          <w:sz w:val="32"/>
        </w:rPr>
        <w:t xml:space="preserve">7. Spending Driver Analysis</w:t>
      </w:r>
    </w:p>
    <w:p w14:paraId="00100050" w14:textId="00100051">
      <w:pPr>
        <w:spacing w:after="200"/>
      </w:pPr>
      <w:r>
        <w:rPr>
          <w:sz w:val="22"/>
        </w:rPr>
        <w:t xml:space="preserve">The primary drivers of spending score are: (1) Age — moderate negative correlation (r ≈ -0.33); younger customers spend more. (2) Gender — female customers score ~3-4 points higher on average. (3) Psychographic cluster membership — cluster explains variance that demographic features alone cannot. Annual Income has near-zero correlation (r ≈ 0.01) — confirming income is NOT a reliable spending predictor.</w:t>
      </w:r>
    </w:p>
    <w:p w14:paraId="00100052" w14:textId="00100053">
      <w:pPr>
        <w:pStyle w:val="Heading1"/>
        <w:spacing w:after="160"/>
      </w:pPr>
      <w:r>
        <w:rPr>
          <w:b/>
          <w:sz w:val="32"/>
        </w:rPr>
        <w:t xml:space="preserve">8. Five Key Findings</w:t>
      </w:r>
    </w:p>
    <w:p w14:paraId="00100054" w14:textId="00100055">
      <w:pPr>
        <w:numPr>
          <w:ilvl w:val="0"/>
          <w:numId w:val="2"/>
        </w:numPr>
        <w:spacing w:after="80"/>
      </w:pPr>
      <w:r>
        <w:rPr>
          <w:sz w:val="22"/>
        </w:rPr>
        <w:t xml:space="preserve">Finding 1: Income Does Not Predict Spending. Pearson r = 0.010 between Annual Income and Spending Score. Traditional income-bracket marketing will produce near-random results. Cluster-based targeting is required.</w:t>
      </w:r>
    </w:p>
    <w:p w14:paraId="00100056" w14:textId="00100057">
      <w:pPr>
        <w:numPr>
          <w:ilvl w:val="0"/>
          <w:numId w:val="2"/>
        </w:numPr>
        <w:spacing w:after="80"/>
      </w:pPr>
      <w:r>
        <w:rPr>
          <w:sz w:val="22"/>
        </w:rPr>
        <w:t xml:space="preserve">Finding 2: The Affluent Saver Paradox. ~25% of customers earn above-median income yet score below-median on spending. This is the largest single revenue recovery opportunity in the dataset.</w:t>
      </w:r>
    </w:p>
    <w:p w14:paraId="00100058" w14:textId="00100059">
      <w:pPr>
        <w:numPr>
          <w:ilvl w:val="0"/>
          <w:numId w:val="2"/>
        </w:numPr>
        <w:spacing w:after="80"/>
      </w:pPr>
      <w:r>
        <w:rPr>
          <w:sz w:val="22"/>
        </w:rPr>
        <w:t xml:space="preserve">Finding 3: Youth Drives Spending. Customers aged 18-25 average a spending score ~64 vs the dataset mean of 50.2. Youth activation programmes represent a high-ROI investment.</w:t>
      </w:r>
    </w:p>
    <w:p w14:paraId="0010005A" w14:textId="0010005B">
      <w:pPr>
        <w:numPr>
          <w:ilvl w:val="0"/>
          <w:numId w:val="2"/>
        </w:numPr>
        <w:spacing w:after="80"/>
      </w:pPr>
      <w:r>
        <w:rPr>
          <w:sz w:val="22"/>
        </w:rPr>
        <w:t xml:space="preserve">Finding 4: Female Shoppers Are the Majority AND More Active. 56% of customers are female and they score higher on spending. Gender-differentiated marketing has clear data support.</w:t>
      </w:r>
    </w:p>
    <w:p w14:paraId="0010005C" w14:textId="0010005D">
      <w:pPr>
        <w:numPr>
          <w:ilvl w:val="0"/>
          <w:numId w:val="2"/>
        </w:numPr>
        <w:spacing w:after="200"/>
      </w:pPr>
      <w:r>
        <w:rPr>
          <w:sz w:val="22"/>
        </w:rPr>
        <w:t xml:space="preserve">Finding 5: Five Distinct Behavioural Segments Exist. K-Means (k=5) with silhouette score validation confirms five separable clusters, each requiring a fundamentally different marketing approach.</w:t>
      </w:r>
    </w:p>
    <w:p w14:paraId="0010005E" w14:textId="0010005F">
      <w:pPr>
        <w:pStyle w:val="Heading1"/>
        <w:spacing w:after="160"/>
      </w:pPr>
      <w:r>
        <w:rPr>
          <w:b/>
          <w:sz w:val="32"/>
        </w:rPr>
        <w:t xml:space="preserve">9. Three Identified Risks</w:t>
      </w:r>
    </w:p>
    <w:p w14:paraId="00100060" w14:textId="00100061">
      <w:pPr>
        <w:numPr>
          <w:ilvl w:val="0"/>
          <w:numId w:val="3"/>
        </w:numPr>
        <w:spacing w:after="120"/>
      </w:pPr>
      <w:r>
        <w:rPr>
          <w:sz w:val="22"/>
        </w:rPr>
        <w:t xml:space="preserve">Risk 1 — Affluent Saver Revenue Leakage. Approximately 25% of customers have above-median income but below-median spending scores. These high-income shoppers are likely spending their discretionary budget at competing venues. Without a conversion strategy, this represents permanent revenue leakage estimated at 25% of addressable wallet share.</w:t>
      </w:r>
    </w:p>
    <w:p w14:paraId="00100062" w14:textId="00100063">
      <w:pPr>
        <w:numPr>
          <w:ilvl w:val="0"/>
          <w:numId w:val="3"/>
        </w:numPr>
        <w:spacing w:after="120"/>
      </w:pPr>
      <w:r>
        <w:rPr>
          <w:sz w:val="22"/>
        </w:rPr>
        <w:t xml:space="preserve">Risk 2 — Older Customer Disengagement. Customers aged 56+ have an average spending score ~36 vs the overall mean of 50.2. As the customer base ages, without active re-engagement, total mall spending will structurally decline. Age is a moderate negative spending driver (r ≈ -0.33).</w:t>
      </w:r>
    </w:p>
    <w:p w14:paraId="00100064" w14:textId="00100065">
      <w:pPr>
        <w:numPr>
          <w:ilvl w:val="0"/>
          <w:numId w:val="3"/>
        </w:numPr>
        <w:spacing w:after="200"/>
      </w:pPr>
      <w:r>
        <w:rPr>
          <w:sz w:val="22"/>
        </w:rPr>
        <w:t xml:space="preserve">Risk 3 — Low-Engagement Segment Churn. The Low-Engagement cluster (~20% of customers) combines low income with low spending scores. This segment is at high risk of churn to discount retailers with minimal switching cost. No retention programme is currently identified in the data.</w:t>
      </w:r>
    </w:p>
    <w:p w14:paraId="00100066" w14:textId="00100067">
      <w:pPr>
        <w:pStyle w:val="Heading1"/>
        <w:spacing w:after="160"/>
      </w:pPr>
      <w:r>
        <w:rPr>
          <w:b/>
          <w:sz w:val="32"/>
        </w:rPr>
        <w:t xml:space="preserve">10. Three Growth Opportunities</w:t>
      </w:r>
    </w:p>
    <w:p w14:paraId="00100068" w14:textId="00100069">
      <w:pPr>
        <w:numPr>
          <w:ilvl w:val="0"/>
          <w:numId w:val="4"/>
        </w:numPr>
        <w:spacing w:after="120"/>
      </w:pPr>
      <w:r>
        <w:rPr>
          <w:sz w:val="22"/>
        </w:rPr>
        <w:t xml:space="preserve">Opportunity 1 — Convert Affluent Savers. Approximately 25% of customers have above-median income and below-median spending. Converting even 50% of the gap between their current spending score and the dataset mean (~50.2) would represent a significant incremental revenue uplift. These customers have the financial capacity; they need the right offer.</w:t>
      </w:r>
    </w:p>
    <w:p w14:paraId="0010006A" w14:textId="0010006B">
      <w:pPr>
        <w:numPr>
          <w:ilvl w:val="0"/>
          <w:numId w:val="4"/>
        </w:numPr>
        <w:spacing w:after="120"/>
      </w:pPr>
      <w:r>
        <w:rPr>
          <w:sz w:val="22"/>
        </w:rPr>
        <w:t xml:space="preserve">Opportunity 2 — Youth Monetisation. Customers aged 18-25 already average ~64 spending score — well above the mean. This high-energy, socially connected cohort responds to experiential marketing, pop-up events, and social commerce. Investment here yields both immediate spend uplift and long-term customer lifetime value.</w:t>
      </w:r>
    </w:p>
    <w:p w14:paraId="0010006C" w14:textId="0010006D">
      <w:pPr>
        <w:numPr>
          <w:ilvl w:val="0"/>
          <w:numId w:val="4"/>
        </w:numPr>
        <w:spacing w:after="200"/>
      </w:pPr>
      <w:r>
        <w:rPr>
          <w:sz w:val="22"/>
        </w:rPr>
        <w:t xml:space="preserve">Opportunity 3 — Female Customer Deepening. Female customers (56% of base) consistently outscore male customers. Category-specific promotions (fashion, beauty, lifestyle, wellness) aligned to female shopping preferences can deepen wallet share without requiring new customer acquisition.</w:t>
      </w:r>
    </w:p>
    <w:p w14:paraId="0010006E" w14:textId="0010006F">
      <w:pPr>
        <w:pStyle w:val="Heading1"/>
        <w:spacing w:after="160"/>
      </w:pPr>
      <w:r>
        <w:rPr>
          <w:b/>
          <w:sz w:val="32"/>
        </w:rPr>
        <w:t xml:space="preserve">11. Five Recommended Actions</w:t>
      </w:r>
    </w:p>
    <w:p w14:paraId="00100070" w14:textId="00100071">
      <w:pPr>
        <w:numPr>
          <w:ilvl w:val="0"/>
          <w:numId w:val="5"/>
        </w:numPr>
        <w:spacing w:after="120"/>
      </w:pPr>
      <w:r>
        <w:rPr>
          <w:sz w:val="22"/>
        </w:rPr>
        <w:t xml:space="preserve">Action 1 — Launch a Tiered VIP Loyalty Programme. Enrol High-Value Loyalists (~25% of base) with exclusive benefits: early sale access, personal shoppers, invitation-only events. Target: retain 95%+ of this segment. KPI: monthly visit frequency and average transaction value.</w:t>
      </w:r>
    </w:p>
    <w:p w14:paraId="00100072" w14:textId="00100073">
      <w:pPr>
        <w:numPr>
          <w:ilvl w:val="0"/>
          <w:numId w:val="5"/>
        </w:numPr>
        <w:spacing w:after="120"/>
      </w:pPr>
      <w:r>
        <w:rPr>
          <w:sz w:val="22"/>
        </w:rPr>
        <w:t xml:space="preserve">Action 2 — Activate Affluent Saver Re-engagement Campaign. Deploy targeted email and SMS outreach to high-income, low-spending customers. Curate premium product bundles and exclusive previews matched to their income bracket. Target: +15 spending score points within 90 days. KPI: Spending Score uplift, campaign click-through rate.</w:t>
      </w:r>
    </w:p>
    <w:p w14:paraId="00100074" w14:textId="00100075">
      <w:pPr>
        <w:numPr>
          <w:ilvl w:val="0"/>
          <w:numId w:val="5"/>
        </w:numPr>
        <w:spacing w:after="120"/>
      </w:pPr>
      <w:r>
        <w:rPr>
          <w:sz w:val="22"/>
        </w:rPr>
        <w:t xml:space="preserve">Action 3 — Youth-Centric Events and Social Commerce. Host monthly in-mall experiences (pop-up shops, influencer activations, brand collaborations) targeting the 18-25 demographic. Target: +5% footfall from under-25 cohort. KPI: foot traffic by age group, social media engagement.</w:t>
      </w:r>
    </w:p>
    <w:p w14:paraId="00100076" w14:textId="00100077">
      <w:pPr>
        <w:numPr>
          <w:ilvl w:val="0"/>
          <w:numId w:val="5"/>
        </w:numPr>
        <w:spacing w:after="120"/>
      </w:pPr>
      <w:r>
        <w:rPr>
          <w:sz w:val="22"/>
        </w:rPr>
        <w:t xml:space="preserve">Action 4 — Gender-Differentiated Promotions Calendar. Develop a 12-month promotions calendar with category-specific campaigns (fashion, beauty, lifestyle) designed for female shoppers. Target: 5% increase in average basket size. KPI: revenue per female customer, category sales growth.</w:t>
      </w:r>
    </w:p>
    <w:p w14:paraId="00100078" w14:textId="00100079">
      <w:pPr>
        <w:numPr>
          <w:ilvl w:val="0"/>
          <w:numId w:val="5"/>
        </w:numPr>
        <w:spacing w:after="200"/>
      </w:pPr>
      <w:r>
        <w:rPr>
          <w:sz w:val="22"/>
        </w:rPr>
        <w:t xml:space="preserve">Action 5 — Win-Back Programme for Low-Engagement Segment. Re-engage low-engagement customers through seasonal discount events, push notifications, and win-back vouchers. Even a +10-point spending score lift across this segment adds measurable incremental revenue. KPI: re-engagement rate, voucher redemption rate.</w:t>
      </w:r>
    </w:p>
    <w:p w14:paraId="0010007A" w14:textId="0010007B">
      <w:pPr>
        <w:pStyle w:val="Heading1"/>
        <w:spacing w:after="160"/>
      </w:pPr>
      <w:r>
        <w:rPr>
          <w:b/>
          <w:sz w:val="32"/>
        </w:rPr>
        <w:t xml:space="preserve">12. FACT → INSIGHT → OPPORTUNITY → ACTION Framework</w:t>
      </w:r>
    </w:p>
    <w:p w14:paraId="0010007C" w14:textId="0010007D">
      <w:pPr>
        <w:pStyle w:val="Heading2"/>
        <w:spacing w:after="80"/>
      </w:pPr>
      <w:r>
        <w:rPr>
          <w:b/>
          <w:sz w:val="28"/>
        </w:rPr>
        <w:t xml:space="preserve">Finding 1: Income-Spending Independence</w:t>
      </w:r>
    </w:p>
    <w:p w14:paraId="0010007E" w14:textId="0010007F">
      <w:pPr>
        <w:spacing w:after="160"/>
      </w:pPr>
      <w:r>
        <w:rPr>
          <w:sz w:val="22"/>
        </w:rPr>
        <w:t xml:space="preserve">FACT: Pearson correlation between Annual Income and Spending Score = 0.010. INSIGHT: Income is not a reliable spending predictor; the mall must use behavioural cluster labels, not income brackets, to target customers. OPPORTUNITY: Reallocate targeting budget from income-based to cluster-based campaigns, reducing wasted spend. ACTION: Integrate K-Means segment labels into the CRM system and replace all income-bracket audiences with cluster-specific campaign triggers.</w:t>
      </w:r>
    </w:p>
    <w:p w14:paraId="00100080" w14:textId="00100081">
      <w:pPr>
        <w:pStyle w:val="Heading2"/>
        <w:spacing w:after="80"/>
      </w:pPr>
      <w:r>
        <w:rPr>
          <w:b/>
          <w:sz w:val="28"/>
        </w:rPr>
        <w:t xml:space="preserve">Finding 2: Budget Enthusiast Loyalty</w:t>
      </w:r>
    </w:p>
    <w:p w14:paraId="00100082" w14:textId="00100083">
      <w:pPr>
        <w:spacing w:after="160"/>
      </w:pPr>
      <w:r>
        <w:rPr>
          <w:sz w:val="22"/>
        </w:rPr>
        <w:t xml:space="preserve">FACT: Budget Enthusiasts (avg income ~$26k) achieve avg spending score ~78 — above 75th percentile. INSIGHT: Spending desire is decoupled from income. This segment prioritises the mall experience over financial constraint. OPPORTUNITY: Grow basket size via BOGO offers, instalment payment options, and value-day events. ACTION: Create a 'Smart Shopper' loyalty tier with bonus points on discounted and value purchases.</w:t>
      </w:r>
    </w:p>
    <w:p w14:paraId="00100084" w14:textId="00100085">
      <w:pPr>
        <w:pStyle w:val="Heading2"/>
        <w:spacing w:after="80"/>
      </w:pPr>
      <w:r>
        <w:rPr>
          <w:b/>
          <w:sz w:val="28"/>
        </w:rPr>
        <w:t xml:space="preserve">Finding 3: Female Majority Advantage</w:t>
      </w:r>
    </w:p>
    <w:p w14:paraId="00100086" w14:textId="00100087">
      <w:pPr>
        <w:spacing w:after="200"/>
      </w:pPr>
      <w:r>
        <w:rPr>
          <w:sz w:val="22"/>
        </w:rPr>
        <w:t xml:space="preserve">FACT: 56% of customers are female. Female avg spending score ≈ 51.5 vs male ≈ 48.5. INSIGHT: Female shoppers are both the majority demographic and higher spenders — a dual leverage point for revenue growth. OPPORTUNITY: Category promotions and brand partnerships aligned to female-led spending (fashion, beauty, wellness) can deepen wallet share without new customer acquisition. ACTION: Partner with three female-skewing brands for co-branded in-mall activations in Q1; measure per-visit basket size change.</w:t>
      </w:r>
    </w:p>
    <w:p w14:paraId="00100088" w14:textId="00100089">
      <w:pPr>
        <w:pStyle w:val="Heading1"/>
        <w:spacing w:after="160"/>
      </w:pPr>
      <w:r>
        <w:rPr>
          <w:b/>
          <w:sz w:val="32"/>
        </w:rPr>
        <w:t xml:space="preserve">13. Technology Stack</w:t>
      </w:r>
    </w:p>
    <w:p w14:paraId="0010008A" w14:textId="0010008B">
      <w:pPr>
        <w:numPr>
          <w:ilvl w:val="0"/>
          <w:numId w:val="6"/>
        </w:numPr>
        <w:spacing w:after="80"/>
      </w:pPr>
      <w:r>
        <w:rPr>
          <w:sz w:val="22"/>
        </w:rPr>
        <w:t xml:space="preserve">Frontend: Streamlit 1.36 (Python-based web framework for data applications)</w:t>
      </w:r>
    </w:p>
    <w:p w14:paraId="0010008C" w14:textId="0010008D">
      <w:pPr>
        <w:numPr>
          <w:ilvl w:val="0"/>
          <w:numId w:val="6"/>
        </w:numPr>
        <w:spacing w:after="80"/>
      </w:pPr>
      <w:r>
        <w:rPr>
          <w:sz w:val="22"/>
        </w:rPr>
        <w:t xml:space="preserve">Data Visualisation: Plotly 5.22 (interactive charts and graphs)</w:t>
      </w:r>
    </w:p>
    <w:p w14:paraId="0010008E" w14:textId="0010008F">
      <w:pPr>
        <w:numPr>
          <w:ilvl w:val="0"/>
          <w:numId w:val="6"/>
        </w:numPr>
        <w:spacing w:after="80"/>
      </w:pPr>
      <w:r>
        <w:rPr>
          <w:sz w:val="22"/>
        </w:rPr>
        <w:t xml:space="preserve">Data Processing: Pandas 2.2, NumPy 1.26 (data wrangling and numerical computation)</w:t>
      </w:r>
    </w:p>
    <w:p w14:paraId="00100090" w14:textId="00100091">
      <w:pPr>
        <w:numPr>
          <w:ilvl w:val="0"/>
          <w:numId w:val="6"/>
        </w:numPr>
        <w:spacing w:after="80"/>
      </w:pPr>
      <w:r>
        <w:rPr>
          <w:sz w:val="22"/>
        </w:rPr>
        <w:t xml:space="preserve">Machine Learning: scikit-learn 1.5 (K-Means clustering, StandardScaler, silhouette score)</w:t>
      </w:r>
    </w:p>
    <w:p w14:paraId="00100092" w14:textId="00100093">
      <w:pPr>
        <w:numPr>
          <w:ilvl w:val="0"/>
          <w:numId w:val="6"/>
        </w:numPr>
        <w:spacing w:after="80"/>
      </w:pPr>
      <w:r>
        <w:rPr>
          <w:sz w:val="22"/>
        </w:rPr>
        <w:t xml:space="preserve">Report Generation: python-docx 1.1 (this document)</w:t>
      </w:r>
    </w:p>
    <w:p w14:paraId="00100094" w14:textId="00100095">
      <w:pPr>
        <w:numPr>
          <w:ilvl w:val="0"/>
          <w:numId w:val="6"/>
        </w:numPr>
        <w:spacing w:after="200"/>
      </w:pPr>
      <w:r>
        <w:rPr>
          <w:sz w:val="22"/>
        </w:rPr>
        <w:t xml:space="preserve">Language: Python 3.10+</w:t>
      </w:r>
    </w:p>
    <w:p w14:paraId="00100096" w14:textId="00100097">
      <w:pPr>
        <w:pStyle w:val="Heading1"/>
        <w:spacing w:after="160"/>
      </w:pPr>
      <w:r>
        <w:rPr>
          <w:b/>
          <w:sz w:val="32"/>
        </w:rPr>
        <w:t xml:space="preserve">14. Setup &amp; Installation Instructions</w:t>
      </w:r>
    </w:p>
    <w:p w14:paraId="00100098" w14:textId="00100099">
      <w:pPr>
        <w:spacing w:after="200"/>
      </w:pPr>
      <w:r>
        <w:rPr>
          <w:sz w:val="22"/>
        </w:rPr>
        <w:t xml:space="preserve">Step 1: Ensure Python 3.10+ is installed. Step 2: Navigate to the MallCustomerBI/ directory. Step 3: Install dependencies with: pip install -r requirements.txt. Step 4: Launch the dashboard with: streamlit run app.py. Step 5: Open browser at http://localhost:8501. The dashboard auto-loads from data/Mall_Customers.csv. All KPIs, charts, and insights compute live from the data.</w:t>
      </w:r>
    </w:p>
    <w:p w14:paraId="0010009A" w14:textId="0010009B">
      <w:pPr>
        <w:pStyle w:val="Heading1"/>
        <w:spacing w:after="160"/>
      </w:pPr>
      <w:r>
        <w:rPr>
          <w:b/>
          <w:sz w:val="32"/>
        </w:rPr>
        <w:t xml:space="preserve">15. Conclusion</w:t>
      </w:r>
    </w:p>
    <w:p w14:paraId="0010009C" w14:textId="0010009D">
      <w:pPr>
        <w:spacing w:after="200"/>
      </w:pPr>
      <w:r>
        <w:rPr>
          <w:sz w:val="22"/>
        </w:rPr>
        <w:t xml:space="preserve">This analysis transforms raw transaction-level customer data into a comprehensive strategic intelligence platform. The five K-Means clusters provide an immediately actionable segmentation framework. The headline finding — that income does not predict spending (r = 0.010) — has significant strategic implications: it invalidates income-bracket targeting and elevates the importance of this cluster-based approach. The three priority actions (VIP loyalty for High-Value Loyalists, Affluent Saver conversion campaign, and Youth activation) have the highest measured revenue uplift potential based on the data. The dashboard provides a live, interactive interface for ongoing monitoring and exploration.</w:t>
      </w:r>
    </w:p>
    <w:p w14:paraId="0010009E" w14:textId="0010009F">
      <w:pPr>
        <w:spacing w:after="160"/>
        <w:jc w:val="center"/>
      </w:pPr>
      <w:r>
        <w:rPr>
          <w:color w:val="57606A"/>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8472f63976a34b4a" /><Relationship Type="http://schemas.openxmlformats.org/officeDocument/2006/relationships/styles" Target="/word/styles.xml" Id="Rf619b05caf6244f8" /><Relationship Type="http://schemas.openxmlformats.org/officeDocument/2006/relationships/theme" Target="/word/theme/theme1.xml" Id="R12f10538a3784fad" /><Relationship Type="http://schemas.openxmlformats.org/officeDocument/2006/relationships/numbering" Target="/word/numbering.xml" Id="R627f8597c9da42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2026-09-24T16:33:13Z</dcterms:created>
  <cp:lastModifiedBy>OfficeCLI</cp:lastModifiedBy>
  <dcterms:modified xsi:type="dcterms:W3CDTF">2026-09-24T16:33:13Z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2026-09-24T16:44:39Z</vt:lpwstr>
  </op:property>
</op:Properties>
</file>