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Facture d'honoraires</w:t>
      </w:r>
    </w:p>
    <w:p>
      <w:pPr>
        <w:pStyle w:val="Subtitle"/>
      </w:pPr>
      <w:r>
        <w:t>Modèle à compléter et à valider avant utilisation</w:t>
      </w:r>
    </w:p>
    <w:p>
      <w:r>
        <w:t>{{logo}}</w:t>
      </w:r>
    </w:p>
    <w:p>
      <w:r>
        <w:t>{{cabinet_identite}}</w:t>
      </w:r>
    </w:p>
    <w:p>
      <w:r>
        <w:t>Avocat au barreau de {{barreau}} · {{cabinet_adresse}}</w:t>
      </w:r>
    </w:p>
    <w:p>
      <w:r>
        <w:t>SIREN {{cabinet_siren}} · SIRET {{cabinet_siret}}</w:t>
      </w:r>
    </w:p>
    <w:p>
      <w:r>
        <w:t>TVA {{cabinet_tva}} · {{cabinet_contact}}</w:t>
      </w:r>
    </w:p>
    <w:p>
      <w:pPr>
        <w:pStyle w:val="Heading1"/>
      </w:pPr>
      <w:r>
        <w:t>Facture {{numero_facture}}</w:t>
      </w:r>
    </w:p>
    <w:p>
      <w:r>
        <w:t>Émise le {{date_emission}} · Prestation ou acompte du {{date_prestation}}</w:t>
      </w:r>
    </w:p>
    <w:p>
      <w:r>
        <w:t>Client {{client_identite}} · {{client_adresse}}</w:t>
      </w:r>
    </w:p>
    <w:p>
      <w:r>
        <w:t>SIREN client {{client_siren_si_applicable}} · TVA client {{client_tva_si_applicable}}</w:t>
      </w:r>
    </w:p>
    <w:p>
      <w:r>
        <w:t>Dossier {{reference_client_visible}} · Convention {{reference_convention}}</w:t>
      </w:r>
    </w:p>
    <w:p>
      <w:r>
        <w:t>Nature de l’opération {{categorie_operation}}</w:t>
      </w:r>
    </w:p>
    <w:p>
      <w:r>
        <w:t>{{adresse_livraison_si_applicable}}</w:t>
      </w:r>
    </w:p>
    <w:p>
      <w:pPr>
        <w:pStyle w:val="Heading1"/>
      </w:pPr>
      <w:r>
        <w:t>Prestations et calcul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44"/>
        <w:gridCol w:w="1296"/>
        <w:gridCol w:w="1440"/>
        <w:gridCol w:w="1152"/>
        <w:gridCol w:w="2160"/>
      </w:tblGrid>
      <w:tr>
        <w:trPr>
          <w:tblHeader/>
        </w:trPr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120" w:before="120"/>
              <w:jc w:val="left"/>
            </w:pPr>
            <w:r>
              <w:rPr>
                <w:b/>
                <w:sz w:val="20"/>
              </w:rPr>
              <w:t>Prestation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120" w:before="120"/>
              <w:jc w:val="center"/>
            </w:pPr>
            <w:r>
              <w:rPr>
                <w:b/>
                <w:sz w:val="20"/>
              </w:rPr>
              <w:t>Quantité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120" w:before="120"/>
              <w:jc w:val="center"/>
            </w:pPr>
            <w:r>
              <w:rPr>
                <w:b/>
                <w:sz w:val="20"/>
              </w:rPr>
              <w:t>Prix HT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120" w:before="120"/>
              <w:jc w:val="center"/>
            </w:pPr>
            <w:r>
              <w:rPr>
                <w:b/>
                <w:sz w:val="20"/>
              </w:rPr>
              <w:t>TVA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120" w:before="120"/>
              <w:jc w:val="center"/>
            </w:pPr>
            <w:r>
              <w:rPr>
                <w:b/>
                <w:sz w:val="20"/>
              </w:rPr>
              <w:t>Montant HT</w:t>
            </w:r>
          </w:p>
        </w:tc>
      </w:tr>
      <w:tr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 w:before="120"/>
              <w:jc w:val="left"/>
            </w:pPr>
            <w:r>
              <w:rPr>
                <w:sz w:val="20"/>
              </w:rPr>
              <w:t>{{libelle}}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 w:before="120"/>
              <w:jc w:val="center"/>
            </w:pPr>
            <w:r>
              <w:rPr>
                <w:sz w:val="20"/>
              </w:rPr>
              <w:t>{{qte}}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 w:before="120"/>
              <w:jc w:val="center"/>
            </w:pPr>
            <w:r>
              <w:rPr>
                <w:sz w:val="20"/>
              </w:rPr>
              <w:t>{{prix_ht}}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 w:before="120"/>
              <w:jc w:val="center"/>
            </w:pPr>
            <w:r>
              <w:rPr>
                <w:sz w:val="20"/>
              </w:rPr>
              <w:t>{{tva}}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 w:before="120"/>
              <w:jc w:val="center"/>
            </w:pPr>
            <w:r>
              <w:rPr>
                <w:sz w:val="20"/>
              </w:rPr>
              <w:t>{{montant_ht}}</w:t>
            </w:r>
          </w:p>
        </w:tc>
      </w:tr>
    </w:tbl>
    <w:p>
      <w:pPr>
        <w:spacing w:before="160"/>
      </w:pPr>
      <w:r>
        <w:t>{{detail_client_autorise}}</w:t>
      </w:r>
    </w:p>
    <w:p>
      <w:r>
        <w:t>{{remises_et_majorations}}</w:t>
      </w:r>
    </w:p>
    <w:p>
      <w:r>
        <w:t>Total HT {{total_ht}} · Ventilation de TVA {{ventilation_tva}}</w:t>
      </w:r>
    </w:p>
    <w:p>
      <w:r>
        <w:t>Total TTC {{total_ttc}}</w:t>
      </w:r>
    </w:p>
    <w:p>
      <w:r>
        <w:t>{{imputation_acomptes_factures}}</w:t>
      </w:r>
    </w:p>
    <w:p>
      <w:r>
        <w:t>Débours qualifiés et justifiés {{debours_qualifies}}</w:t>
      </w:r>
    </w:p>
    <w:p>
      <w:r>
        <w:t>Net à payer {{net_a_payer}} {{devise}}</w:t>
      </w:r>
    </w:p>
    <w:p>
      <w:r>
        <w:t>{{mentions_tva}}</w:t>
      </w:r>
    </w:p>
    <w:p>
      <w:pPr>
        <w:pStyle w:val="Heading1"/>
      </w:pPr>
      <w:r>
        <w:t>Règlement</w:t>
      </w:r>
    </w:p>
    <w:p>
      <w:r>
        <w:t>Échéance {{date_echeance}} · Modalités {{modalites_paiement}}</w:t>
      </w:r>
    </w:p>
    <w:p>
      <w:r>
        <w:t>Règlement au bénéficiaire {{beneficiaire}} · IBAN {{iban}}</w:t>
      </w:r>
    </w:p>
    <w:p>
      <w:r>
        <w:t>Escompte {{conditions_escompte}}</w:t>
      </w:r>
    </w:p>
    <w:p>
      <w:r>
        <w:t>{{clause_retard_adaptee_client}}</w:t>
      </w:r>
    </w:p>
    <w:p>
      <w:r>
        <w:t>{{references_factures_anterieures}}</w:t>
      </w:r>
    </w:p>
    <w:p>
      <w:r>
        <w:t>Le détail des diligences réservé au client est communiqué selon le circuit confidentiel convenu.</w:t>
      </w:r>
    </w:p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Modèle 2026 10 ·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8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Calibri" w:hAnsi="Calibri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Facture d’honoraires</dc:title>
  <dc:subject>Modèle original révisé au 16 octobre 2026</dc:subject>
  <dc:creator>AxiorHub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