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Devis d'honoraires</w:t>
      </w:r>
    </w:p>
    <w:p>
      <w:pPr>
        <w:pStyle w:val="Subtitle"/>
      </w:pPr>
      <w:r>
        <w:t>Modèle à compléter et à valider avant utilisation</w:t>
      </w:r>
    </w:p>
    <w:p>
      <w:r>
        <w:t>{{logo}}</w:t>
      </w:r>
    </w:p>
    <w:p>
      <w:r>
        <w:t>{{cabinet_identite}} · Avocat au barreau de {{barreau}}</w:t>
      </w:r>
    </w:p>
    <w:p>
      <w:r>
        <w:t>{{cabinet_adresse}} · {{cabinet_contact}} · SIREN {{cabinet_siren}}</w:t>
      </w:r>
    </w:p>
    <w:p>
      <w:r>
        <w:t>Client {{client_identite}} · {{client_adresse}}</w:t>
      </w:r>
    </w:p>
    <w:p>
      <w:r>
        <w:t>Devis {{numero_devis}} du {{date_devis}} · valable jusqu’au {{date_validite}}</w:t>
      </w:r>
    </w:p>
    <w:p>
      <w:r>
        <w:t>Dossier {{reference_dossier}}</w:t>
      </w:r>
    </w:p>
    <w:p>
      <w:pPr>
        <w:pStyle w:val="Heading1"/>
      </w:pPr>
      <w:r>
        <w:t>Votre mission</w:t>
      </w:r>
    </w:p>
    <w:p>
      <w:r>
        <w:t>À partir de votre demande et des éléments communiqués, la mission proposée est la suivante : {{mission}}.</w:t>
      </w:r>
    </w:p>
    <w:p>
      <w:r>
        <w:t>Livrables et étapes compris : {{perimetre_inclus}}.</w:t>
      </w:r>
    </w:p>
    <w:p>
      <w:r>
        <w:t>Éléments restant à vérifier et hypothèses : {{hypotheses}}.</w:t>
      </w:r>
    </w:p>
    <w:p>
      <w:r>
        <w:t>Prestations réservées et exclusions : {{perimetre_exclu}}. Une intervention complémentaire exige un accord préalable sur son périmètre et son prix.</w:t>
      </w:r>
    </w:p>
    <w:p>
      <w:pPr>
        <w:pStyle w:val="Heading1"/>
      </w:pPr>
      <w:r>
        <w:t>Honoraires proposés</w:t>
      </w:r>
    </w:p>
    <w:p>
      <w:r>
        <w:t>Mode de rémunération {{mode_honoraires}}.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1296"/>
        <w:gridCol w:w="1440"/>
        <w:gridCol w:w="1152"/>
        <w:gridCol w:w="2160"/>
      </w:tblGrid>
      <w:tr>
        <w:trPr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left"/>
            </w:pPr>
            <w:r>
              <w:rPr>
                <w:b/>
                <w:sz w:val="20"/>
              </w:rPr>
              <w:t>Prestation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Quantité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Prix HT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TVA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</w:tcPr>
          <w:p>
            <w:pPr>
              <w:spacing w:after="120" w:before="120"/>
              <w:jc w:val="center"/>
            </w:pPr>
            <w:r>
              <w:rPr>
                <w:b/>
                <w:sz w:val="20"/>
              </w:rPr>
              <w:t>Montant HT</w:t>
            </w:r>
          </w:p>
        </w:tc>
      </w:tr>
      <w:t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left"/>
            </w:pPr>
            <w:r>
              <w:rPr>
                <w:sz w:val="20"/>
              </w:rPr>
              <w:t>{{libelle}}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{{qte}}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{{prix_ht}}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{{tva}}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 w:before="120"/>
              <w:jc w:val="center"/>
            </w:pPr>
            <w:r>
              <w:rPr>
                <w:sz w:val="20"/>
              </w:rPr>
              <w:t>{{montant_ht}}</w:t>
            </w:r>
          </w:p>
        </w:tc>
      </w:tr>
    </w:tbl>
    <w:p>
      <w:pPr>
        <w:spacing w:before="160"/>
      </w:pPr>
      <w:r>
        <w:t>Total HT {{total_ht}} · TVA {{ventilation_tva}} · Total TTC {{total_ttc}}.</w:t>
      </w:r>
    </w:p>
    <w:p>
      <w:r>
        <w:t>{{mentions_tva}}</w:t>
      </w:r>
    </w:p>
    <w:p>
      <w:r>
        <w:t>{{budget_et_plafond}}</w:t>
      </w:r>
    </w:p>
    <w:p>
      <w:r>
        <w:t>Options non comprises dans le total {{options_chiffrees}}.</w:t>
      </w:r>
    </w:p>
    <w:p>
      <w:r>
        <w:t>Frais et débours prévisibles {{frais_debours_previsibles}}.</w:t>
      </w:r>
    </w:p>
    <w:p>
      <w:pPr>
        <w:pStyle w:val="Heading1"/>
        <w:pageBreakBefore/>
      </w:pPr>
      <w:r>
        <w:t>Déroulement et règlement</w:t>
      </w:r>
    </w:p>
    <w:p>
      <w:r>
        <w:t>Calendrier prévisionnel {{calendrier}}. Il dépend notamment des éléments attendus {{elements_attendus}}.</w:t>
      </w:r>
    </w:p>
    <w:p>
      <w:r>
        <w:t>Provision proposée {{provision}} et échéancier {{echeancier}}.</w:t>
      </w:r>
    </w:p>
    <w:p>
      <w:r>
        <w:t>Modalités de règlement {{modalites_paiement}}.</w:t>
      </w:r>
    </w:p>
    <w:p>
      <w:r>
        <w:t>La convention d’honoraires {{reference_convention}} et les conditions générales version {{version_cgh}}, remises avec ce devis, précisent les engagements. Le devis ne vaut pas confirmation d’un résultat judiciaire.</w:t>
      </w:r>
    </w:p>
    <w:p>
      <w:r>
        <w:t>{{information_consommateur_si_applicable}}</w:t>
      </w:r>
    </w:p>
    <w:p>
      <w:pPr>
        <w:pStyle w:val="Heading1"/>
      </w:pPr>
      <w:r>
        <w:t>Acceptation</w:t>
      </w:r>
    </w:p>
    <w:p>
      <w:r>
        <w:t>Je confirme le périmètre, le prix ou son mode de détermination et les documents annexés identifiés ci-dessus.</w:t>
      </w:r>
    </w:p>
    <w:p>
      <w:r>
        <w:t>Client ou représentant habilité {{signataire_client}} · Qualité {{qualite_signataire}}</w:t>
      </w:r>
    </w:p>
    <w:p>
      <w:r>
        <w:t>Date {{date_acceptation}} · Signature {{signature_client}}</w:t>
      </w:r>
    </w:p>
    <w:p>
      <w:r>
        <w:t>Avocat {{signataire_avocat}} · Signature {{signature_avocat}}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Modèle 2026 10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d’honoraires</dc:title>
  <dc:subject>Modèle original révisé au 16 octobre 2026</dc:subject>
  <dc:creator>AxiorHub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