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Convention d'honoraires au forfait</w:t>
      </w:r>
    </w:p>
    <w:p>
      <w:pPr>
        <w:pStyle w:val="Subtitle"/>
      </w:pPr>
      <w:r>
        <w:t>Modèle à compléter et à valider avant utilisation</w:t>
      </w:r>
    </w:p>
    <w:p>
      <w:pPr>
        <w:pStyle w:val="Heading1"/>
      </w:pPr>
      <w:r>
        <w:t>Parties</w:t>
      </w:r>
    </w:p>
    <w:p>
      <w:r>
        <w:t>Entre {{cabinet_identite}}, avocat au barreau de {{barreau}}, {{cabinet_adresse}}, SIREN {{cabinet_siren}}, contact {{cabinet_contact}}, ci-après l’avocat, et {{client_identite}}, {{client_adresse}}, représenté le cas échéant par {{representant_client}}, ci-après le client.</w:t>
      </w:r>
    </w:p>
    <w:p>
      <w:r>
        <w:t>Dossier {{reference_dossier}} · Version {{version_convention}} · Date {{date_document}}.</w:t>
      </w:r>
    </w:p>
    <w:p>
      <w:pPr>
        <w:pStyle w:val="Heading1"/>
      </w:pPr>
      <w:r>
        <w:t>Mission confiée</w:t>
      </w:r>
    </w:p>
    <w:p>
      <w:r>
        <w:t>Le client confie à l’avocat {{mission}}. L’objectif et les hypothèses de la mission sont {{objectif_et_hypotheses}}.</w:t>
      </w:r>
    </w:p>
    <w:p>
      <w:r>
        <w:t>Le forfait comprend les diligences prévisibles {{perimetre_inclus}}, les livrables {{livrables}} et les phases {{phases}}.</w:t>
      </w:r>
    </w:p>
    <w:p>
      <w:r>
        <w:t>Ne sont pas compris {{perimetre_exclu}}. Le périmètre des démarches amiables est {{demarches_amiables}}. Une extension ou un changement important conduit à une proposition complémentaire acceptée avant les diligences nouvelles, sous réserve du traitement des urgences applicables au dossier.</w:t>
      </w:r>
    </w:p>
    <w:p>
      <w:pPr>
        <w:pStyle w:val="Heading1"/>
      </w:pPr>
      <w:r>
        <w:t>Honoraires convenus</w:t>
      </w:r>
    </w:p>
    <w:p>
      <w:r>
        <w:t>Le forfait est fixé à {{forfait_ht}} HT, avec TVA {{ventilation_tva}}, soit {{forfait_ttc}} TTC. {{mentions_tva}}</w:t>
      </w:r>
    </w:p>
    <w:p>
      <w:r>
        <w:t>Le forfait rémunère le périmètre convenu, indépendamment du temps effectivement nécessaire dans ce périmètre. Les modalités particulières par phase sont {{prix_par_phase}}.</w:t>
      </w:r>
    </w:p>
    <w:p>
      <w:r>
        <w:t>Les prestations complémentaires ne sont pas facturées sur la seule base d’une suggestion d’IA. Leur périmètre, leur prix ou leur mode de calcul sont précisés dans un accord complémentaire.</w:t>
      </w:r>
    </w:p>
    <w:p>
      <w:r>
        <w:t>{{clause_resultat_si_convenue}}</w:t>
      </w:r>
    </w:p>
    <w:p>
      <w:pPr>
        <w:pStyle w:val="Heading1"/>
      </w:pPr>
      <w:r>
        <w:t>Frais et débours</w:t>
      </w:r>
    </w:p>
    <w:p>
      <w:r>
        <w:t>Frais et débours prévisibles {{frais_debours_previsibles}}. Les frais de tiers sont distingués des honoraires ; leur qualification fiscale et leurs justificatifs sont précisés dans le compte remis au client. Les dépenses au-delà du seuil convenu {{seuil_depenses}} nécessitent son accord préalable.</w:t>
      </w:r>
    </w:p>
    <w:p>
      <w:pPr>
        <w:pStyle w:val="Heading1"/>
        <w:pageBreakBefore/>
      </w:pPr>
      <w:r>
        <w:t>Provision et facturation</w:t>
      </w:r>
    </w:p>
    <w:p>
      <w:r>
        <w:t>Provision {{provision}} ; échéancier {{echeancier}}. Les factures indiquent les provisions déjà facturées et leur imputation selon le circuit applicable. Elles sont réglables dans le délai {{delai_paiement}} par {{modalites_paiement}}.</w:t>
      </w:r>
    </w:p>
    <w:p>
      <w:r>
        <w:t>{{clause_retard_adaptee_client}}</w:t>
      </w:r>
    </w:p>
    <w:p>
      <w:r>
        <w:t>Les fonds de tiers soumis à un circuit spécifique restent distincts des honoraires du cabinet.</w:t>
      </w:r>
    </w:p>
    <w:p>
      <w:pPr>
        <w:pStyle w:val="Heading1"/>
      </w:pPr>
      <w:r>
        <w:t>Exécution et fin de mission</w:t>
      </w:r>
    </w:p>
    <w:p>
      <w:r>
        <w:t>Le client remet les informations utiles et signale les échéances connues. L’avocat l’informe de l’avancement et des modifications importantes. Il n’assure pas un résultat déterminé.</w:t>
      </w:r>
    </w:p>
    <w:p>
      <w:r>
        <w:t>En cas de fin anticipée, un compte des diligences accomplies, frais et provisions est établi conformément aux stipulations valables et aux règles applicables. Aucun solde intégral du forfait n’est rendu automatiquement exigible par une clause générale ; les modalités particulières convenues sont {{modalites_fin_mission}}.</w:t>
      </w:r>
    </w:p>
    <w:p>
      <w:r>
        <w:t>{{clause_outils_ia_validee}}</w:t>
      </w:r>
    </w:p>
    <w:p>
      <w:pPr>
        <w:pStyle w:val="Heading1"/>
      </w:pPr>
      <w:r>
        <w:t>Conditions et contestations</w:t>
      </w:r>
    </w:p>
    <w:p>
      <w:r>
        <w:t>Les conditions générales version {{version_cgh}} et les annexes {{annexes_identifiees}} ont été remises au client avant son accord. Les stipulations individualisées prévalent sur les conditions générales en cas de contradiction, sous réserve des règles impératives.</w:t>
      </w:r>
    </w:p>
    <w:p>
      <w:r>
        <w:t>Toute difficulté est d’abord signalée par écrit au cabinet. Les contestations d’honoraires relèvent des voies applicables à la profession, dont la saisine du bâtonnier compétent. {{information_mediation_consommateur}}</w:t>
      </w:r>
    </w:p>
    <w:p>
      <w:r>
        <w:t>{{information_retractation_si_applicable}}</w:t>
      </w:r>
    </w:p>
    <w:p>
      <w:pPr>
        <w:pStyle w:val="Heading1"/>
      </w:pPr>
      <w:r>
        <w:t>Signatures</w:t>
      </w:r>
    </w:p>
    <w:p>
      <w:r>
        <w:t>Client {{signataire_client}} · Qualité {{qualite_signataire}} · Date {{date_acceptation}} · Signature {{signature_client}}</w:t>
      </w:r>
    </w:p>
    <w:p>
      <w:r>
        <w:t>Avocat {{signataire_avocat}} · Signature {{signature_avocat}}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Modèle 2026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d’honoraires au forfait</dc:title>
  <dc:subject>Modèle original révisé au 16 octobre 2026</dc:subject>
  <dc:creator>AxiorHub</dc:creator>
  <cp:keywords/>
  <dc:description>generated by python-docx</dc:description>
  <cp:lastModifiedBy/>
  <cp:revision>1</cp:revision>
  <dcterms:created xsi:type="dcterms:W3CDTF">2013-12-23T23:15:00Z</dcterms:created>
  <dcterms:modified xsi:type="dcterms:W3CDTF">2013-12-23T23:15:00Z</dcterms:modified>
  <cp:category/>
</cp:coreProperties>
</file>