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Convention d'honoraires au temps passé</w:t>
      </w:r>
    </w:p>
    <w:p>
      <w:pPr>
        <w:pStyle w:val="Subtitle"/>
      </w:pPr>
      <w:r>
        <w:t>Modèle à compléter et à valider avant utilisation</w:t>
      </w:r>
    </w:p>
    <w:p>
      <w:pPr>
        <w:pStyle w:val="Heading1"/>
      </w:pPr>
      <w:r>
        <w:t>Parties et documents</w:t>
      </w:r>
    </w:p>
    <w:p>
      <w:r>
        <w:t>Entre {{cabinet_identite}}, avocat au barreau de {{barreau}}, {{cabinet_adresse}}, SIREN {{cabinet_siren}}, contact {{cabinet_contact}}, et {{client_identite}}, {{client_adresse}}, représenté le cas échéant par {{representant_client}}.</w:t>
      </w:r>
    </w:p>
    <w:p>
      <w:r>
        <w:t>Dossier {{reference_dossier}} · Date {{date_document}} · Version {{version_convention}}.</w:t>
      </w:r>
    </w:p>
    <w:p>
      <w:pPr>
        <w:pStyle w:val="Heading1"/>
      </w:pPr>
      <w:r>
        <w:t>Mission</w:t>
      </w:r>
    </w:p>
    <w:p>
      <w:r>
        <w:t>Mission confiée {{mission}} ; objectif et hypothèses {{objectif_et_hypotheses}}.</w:t>
      </w:r>
    </w:p>
    <w:p>
      <w:r>
        <w:t>Diligences et livrables prévisibles {{perimetre_inclus}}. Exclusions et prestations réservées {{perimetre_exclu}}.</w:t>
      </w:r>
    </w:p>
    <w:p>
      <w:r>
        <w:t>Démarches amiables envisagées {{demarches_amiables}}. Toute extension du périmètre fait l’objet d’un accord préalable.</w:t>
      </w:r>
    </w:p>
    <w:p>
      <w:pPr>
        <w:pStyle w:val="Heading1"/>
      </w:pPr>
      <w:r>
        <w:t>Tarifs et budget</w:t>
      </w:r>
    </w:p>
    <w:p>
      <w:r>
        <w:t>Les honoraires sont calculés sur les temps effectivement consacrés à la mission, au taux de {{taux_horaire_ht}} HT par heure. Les tarifs des intervenants distincts, s’ils existent, sont {{tarifs_intervenants}}.</w:t>
      </w:r>
    </w:p>
    <w:p>
      <w:r>
        <w:t>L’unité de décompte convenue est {{unite_decompte}}. Le client reçoit un relevé des diligences, durées et tarifs appliqués.</w:t>
      </w:r>
    </w:p>
    <w:p>
      <w:r>
        <w:t>Le temps prévisible est {{temps_estime}}, pour un budget indicatif de {{budget_ht}} HT et {{budget_ttc}} TTC. TVA {{ventilation_tva}}. {{mentions_tva}}</w:t>
      </w:r>
    </w:p>
    <w:p>
      <w:r>
        <w:t>La portée du budget et du plafond est {{budget_et_plafond}}. À l’approche du seuil {{seuil_alerte}}, l’avocat informe le client et sollicite l’accord nécessaire avant tout dépassement du périmètre ou plafond convenu.</w:t>
      </w:r>
    </w:p>
    <w:p>
      <w:r>
        <w:t>{{clause_resultat_si_convenue}}</w:t>
      </w:r>
    </w:p>
    <w:p>
      <w:pPr>
        <w:pStyle w:val="Heading1"/>
        <w:pageBreakBefore/>
      </w:pPr>
      <w:r>
        <w:t>Frais provisions et règlement</w:t>
      </w:r>
    </w:p>
    <w:p>
      <w:r>
        <w:t>Frais et débours prévisibles {{frais_debours_previsibles}}, justifiés et distingués des honoraires. Les dépenses au-delà de {{seuil_depenses}} sont soumises à accord préalable.</w:t>
      </w:r>
    </w:p>
    <w:p>
      <w:r>
        <w:t>Provision {{provision}}. Périodicité de facturation {{periodicite}} et échéancier {{echeancier}}.</w:t>
      </w:r>
    </w:p>
    <w:p>
      <w:r>
        <w:t>Règlement dans le délai {{delai_paiement}} selon {{modalites_paiement}}. Les provisions et paiements sont rapprochés des factures sans double facturation des mêmes diligences.</w:t>
      </w:r>
    </w:p>
    <w:p>
      <w:r>
        <w:t>{{clause_retard_adaptee_client}}</w:t>
      </w:r>
    </w:p>
    <w:p>
      <w:pPr>
        <w:pStyle w:val="Heading1"/>
      </w:pPr>
      <w:r>
        <w:t>Collaboration et fin de mission</w:t>
      </w:r>
    </w:p>
    <w:p>
      <w:r>
        <w:t>Le client remet les informations et pièces utiles ; l’avocat l’informe de l’avancement et des difficultés. Aucune garantie de résultat n’est consentie.</w:t>
      </w:r>
    </w:p>
    <w:p>
      <w:r>
        <w:t>En cas de fin de mission, un compte des diligences effectivement accomplies, frais et provisions est remis. Les conditions particulières sont {{modalites_fin_mission}}.</w:t>
      </w:r>
    </w:p>
    <w:p>
      <w:r>
        <w:t>{{clause_outils_ia_validee}}</w:t>
      </w:r>
    </w:p>
    <w:p>
      <w:pPr>
        <w:pStyle w:val="Heading1"/>
      </w:pPr>
      <w:r>
        <w:t>Conditions et règlement des différends</w:t>
      </w:r>
    </w:p>
    <w:p>
      <w:r>
        <w:t>Conditions générales remises version {{version_cgh}} ; annexes {{annexes_identifiees}}. Les conditions individualisées prévalent en cas de contradiction, sous réserve des règles impératives.</w:t>
      </w:r>
    </w:p>
    <w:p>
      <w:r>
        <w:t>Toute difficulté est signalée au cabinet par écrit. Les contestations d’honoraires suivent les voies applicables à la profession et la compétence du bâtonnier. {{information_mediation_consommateur}}</w:t>
      </w:r>
    </w:p>
    <w:p>
      <w:r>
        <w:t>{{information_retractation_si_applicable}}</w:t>
      </w:r>
    </w:p>
    <w:p>
      <w:pPr>
        <w:pStyle w:val="Heading1"/>
      </w:pPr>
      <w:r>
        <w:t>Signatures</w:t>
      </w:r>
    </w:p>
    <w:p>
      <w:r>
        <w:t>Client {{signataire_client}} · Qualité {{qualite_signataire}} · Date {{date_acceptation}} · Signature {{signature_client}}</w:t>
      </w:r>
    </w:p>
    <w:p>
      <w:r>
        <w:t>Avocat {{signataire_avocat}} · Signature {{signature_avocat}}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Modèle 2026 10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Calibri" w:hAnsi="Calibri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Convention d’honoraires au temps passé</dc:title>
  <dc:subject>Modèle original révisé au 16 octobre 2026</dc:subject>
  <dc:creator>AxiorHub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