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Conditions générales d'honoraires</w:t>
      </w:r>
    </w:p>
    <w:p>
      <w:pPr>
        <w:pStyle w:val="Subtitle"/>
      </w:pPr>
      <w:r>
        <w:t>Modèle à compléter et à valider avant utilisation</w:t>
      </w:r>
    </w:p>
    <w:p>
      <w:r>
        <w:t>Cabinet {{cabinet_identite}} · Avocat au barreau de {{barreau}}</w:t>
      </w:r>
    </w:p>
    <w:p>
      <w:r>
        <w:t>{{cabinet_adresse}} · {{cabinet_contact}} · SIREN {{cabinet_siren}}</w:t>
      </w:r>
    </w:p>
    <w:p>
      <w:r>
        <w:t>Version {{version_cgh}} du {{date_cgh}}.</w:t>
      </w:r>
    </w:p>
    <w:p>
      <w:pPr>
        <w:pStyle w:val="Heading1"/>
      </w:pPr>
      <w:r>
        <w:t>Champ et documents contractuels</w:t>
      </w:r>
    </w:p>
    <w:p>
      <w:r>
        <w:t>Ces conditions accompagnent la convention ou lettre individualisée remise au client. Elles ne fixent pas seules le prix ni le périmètre d’une mission. Les conditions particulières convenues prévalent en cas de contradiction, sous réserve des règles impératives. Toute modification applicable au contrat en cours nécessite le circuit d’accord approprié ; la seule mise à jour de ce modèle ne modifie pas les conventions déjà signées.</w:t>
      </w:r>
    </w:p>
    <w:p>
      <w:pPr>
        <w:pStyle w:val="Heading1"/>
      </w:pPr>
      <w:r>
        <w:t>Mission et relation avec le client</w:t>
      </w:r>
    </w:p>
    <w:p>
      <w:r>
        <w:t>Le cabinet intervient dans le périmètre accepté. Les démarches nouvelles et prestations réservées sont proposées au client avant leur engagement selon les conditions de la convention. L’avocat agit avec diligence et indépendance, dans le respect de ses obligations professionnelles, sans garantir une issue déterminée.</w:t>
      </w:r>
    </w:p>
    <w:p>
      <w:r>
        <w:t>Le client transmet les éléments utiles, informe le cabinet des échéances connues et de toute évolution. Les interlocuteurs et canaux convenus sont précisés dans la lettre de mission ou la convention. Un changement de coordonnées de paiement fait l’objet d’une vérification adaptée avant tout règlement.</w:t>
      </w:r>
    </w:p>
    <w:p>
      <w:pPr>
        <w:pStyle w:val="Heading1"/>
      </w:pPr>
      <w:r>
        <w:t>Honoraires frais et débours</w:t>
      </w:r>
    </w:p>
    <w:p>
      <w:r>
        <w:t>Le prix, son mode de calcul, les diligences couvertes, les options et la TVA sont indiqués dans les conditions particulières. Un honoraire complémentaire de résultat exige une stipulation individualisée et ne constitue pas la seule rémunération.</w:t>
      </w:r>
    </w:p>
    <w:p>
      <w:r>
        <w:t>Les frais refacturés et les débours sont distingués et justifiés selon leur qualification. Les dépenses soumises à accord préalable et leur seuil sont précisés dans la convention. Les fonds détenus pour compte de tiers ne sont pas assimilés à des honoraires.</w:t>
      </w:r>
    </w:p>
    <w:p>
      <w:pPr>
        <w:pStyle w:val="Heading1"/>
      </w:pPr>
      <w:r>
        <w:t>Facturation et paiements</w:t>
      </w:r>
    </w:p>
    <w:p>
      <w:r>
        <w:t>Les provisions, étapes de facturation et échéances sont celles de la convention et des factures correspondantes. Le compte remis permet de rapprocher les factures, provisions et règlements. Une même diligence ne peut être facturée deux fois sous des circuits différents.</w:t>
      </w:r>
    </w:p>
    <w:p>
      <w:r>
        <w:t>Les factures sont transmises par le circuit applicable à l’opération et à la situation du cabinet. Un mandat de prélèvement demeure distinct de l’acceptation d’une convention ou d’une facture.</w:t>
      </w:r>
    </w:p>
    <w:p>
      <w:r>
        <w:t>{{clause_retard_adaptee_client}}</w:t>
      </w:r>
    </w:p>
    <w:p>
      <w:pPr>
        <w:pStyle w:val="Heading1"/>
        <w:pageBreakBefore/>
      </w:pPr>
      <w:r>
        <w:t>Confidentialité données et outils</w:t>
      </w:r>
    </w:p>
    <w:p>
      <w:r>
        <w:t>L’avocat préserve le secret professionnel. Les modalités de traitement des données et les droits des personnes sont exposés dans la notice {{reference_notice_donnees}}, disponible {{acces_notice_donnees}}. Le contact dédié est {{contact_donnees}}.</w:t>
      </w:r>
    </w:p>
    <w:p>
      <w:r>
        <w:t>{{clause_outils_ia_validee}}</w:t>
      </w:r>
    </w:p>
    <w:p>
      <w:r>
        <w:t>La communication d’un document au client, à un prestataire de signature ou à une plateforme de facturation suit un périmètre défini et contrôlé ; elle n’emporte pas autorisation de publier les pièces du dossier.</w:t>
      </w:r>
    </w:p>
    <w:p>
      <w:pPr>
        <w:pStyle w:val="Heading1"/>
      </w:pPr>
      <w:r>
        <w:t>Fin de mission et compte</w:t>
      </w:r>
    </w:p>
    <w:p>
      <w:r>
        <w:t>Les conditions de fin de mission sont précisées dans la convention et appliquées dans le respect des obligations professionnelles. Un compte distingue les diligences accomplies, les frais, provisions et soldes. Ces conditions ne prévoient ni pénalité générale de rupture ni exigibilité automatique de tout forfait non exécuté.</w:t>
      </w:r>
    </w:p>
    <w:p>
      <w:pPr>
        <w:pStyle w:val="Heading1"/>
      </w:pPr>
      <w:r>
        <w:t>Réclamations et voies de recours</w:t>
      </w:r>
    </w:p>
    <w:p>
      <w:r>
        <w:t>Le client peut adresser sa réclamation au cabinet {{contact_reclamations}}. Les contestations d’honoraires relèvent du dispositif applicable à la profession d’avocat, dont la saisine du bâtonnier compétent ; les informations pratiques du cabinet sont {{information_contestation}}.</w:t>
      </w:r>
    </w:p>
    <w:p>
      <w:r>
        <w:t>{{information_mediation_consommateur}}</w:t>
      </w:r>
    </w:p>
    <w:p>
      <w:r>
        <w:t>{{information_retractation_si_applicable}}</w:t>
      </w:r>
    </w:p>
    <w:p>
      <w:r>
        <w:t>La version remise et acceptée avec le contrat est {{version_cgh}}. Date et preuve de remise {{preuve_remise_cgh}}.</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Modèle 2026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générales d’honoraires</dc:title>
  <dc:subject>Modèle original révisé au 16 octobre 2026</dc:subject>
  <dc:creator>AxiorHub</dc:creator>
  <cp:keywords/>
  <dc:description>generated by python-docx</dc:description>
  <cp:lastModifiedBy/>
  <cp:revision>1</cp:revision>
  <dcterms:created xsi:type="dcterms:W3CDTF">2013-12-23T23:15:00Z</dcterms:created>
  <dcterms:modified xsi:type="dcterms:W3CDTF">2013-12-23T23:15:00Z</dcterms:modified>
  <cp:category/>
</cp:coreProperties>
</file>