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Avoir sur honoraires</w:t>
      </w:r>
    </w:p>
    <w:p>
      <w:pPr>
        <w:pStyle w:val="Subtitle"/>
      </w:pPr>
      <w:r>
        <w:t>Modèle à compléter et à valider avant utilisation</w:t>
      </w:r>
    </w:p>
    <w:p>
      <w:r>
        <w:t>{{logo}}</w:t>
      </w:r>
    </w:p>
    <w:p>
      <w:r>
        <w:t>{{cabinet_identite}} · Avocat au barreau de {{barreau}}</w:t>
      </w:r>
    </w:p>
    <w:p>
      <w:r>
        <w:t>{{cabinet_adresse}} · SIREN {{cabinet_siren}} · TVA {{cabinet_tva}}</w:t>
      </w:r>
    </w:p>
    <w:p>
      <w:r>
        <w:t>{{cabinet_contact}}</w:t>
      </w:r>
    </w:p>
    <w:p>
      <w:r>
        <w:t>Client {{client_identite}} · {{client_adresse}}</w:t>
      </w:r>
    </w:p>
    <w:p>
      <w:r>
        <w:t>SIREN client {{client_siren_si_applicable}} · TVA client {{client_tva_si_applicable}}</w:t>
      </w:r>
    </w:p>
    <w:p>
      <w:pPr>
        <w:pStyle w:val="Heading1"/>
      </w:pPr>
      <w:r>
        <w:t>Avoir {{numero_avoir}}</w:t>
      </w:r>
    </w:p>
    <w:p>
      <w:r>
        <w:t>Date d’émission {{date_emission}} · Devise {{devise}}</w:t>
      </w:r>
    </w:p>
    <w:p>
      <w:r>
        <w:t>Facture rectifiée {{numero_facture_origine}} du {{date_facture_origine}}</w:t>
      </w:r>
    </w:p>
    <w:p>
      <w:r>
        <w:t>Dossier {{reference_client_visible}}</w:t>
      </w:r>
    </w:p>
    <w:p>
      <w:r>
        <w:t>Motif et périmètre de rectification {{motif_avoir}}.</w:t>
      </w:r>
    </w:p>
    <w:p>
      <w:pPr>
        <w:pStyle w:val="Heading1"/>
      </w:pPr>
      <w:r>
        <w:t>Montants crédités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296"/>
        <w:gridCol w:w="1440"/>
        <w:gridCol w:w="1152"/>
        <w:gridCol w:w="216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left"/>
            </w:pPr>
            <w:r>
              <w:rPr>
                <w:b/>
                <w:sz w:val="20"/>
              </w:rPr>
              <w:t>Prestation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Quantité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Prix HT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TVA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Montant HT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left"/>
            </w:pPr>
            <w:r>
              <w:rPr>
                <w:sz w:val="20"/>
              </w:rPr>
              <w:t>{{libelle}}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{{qte}}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{{prix_ht}}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{{tva}}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{{montant_ht}}</w:t>
            </w:r>
          </w:p>
        </w:tc>
      </w:tr>
    </w:tbl>
    <w:p>
      <w:pPr>
        <w:spacing w:before="160"/>
      </w:pPr>
      <w:r>
        <w:t>Montant HT crédité {{total_ht}} · TVA correspondante {{ventilation_tva}}</w:t>
      </w:r>
    </w:p>
    <w:p>
      <w:r>
        <w:t>Montant TTC crédité {{total_ttc}}.</w:t>
      </w:r>
    </w:p>
    <w:p>
      <w:r>
        <w:t>{{mentions_tva}}</w:t>
      </w:r>
    </w:p>
    <w:p>
      <w:r>
        <w:t>{{imputation_avoir}}. Le solde après imputation est {{solde_apres_avoir}}.</w:t>
      </w:r>
    </w:p>
    <w:p>
      <w:pPr>
        <w:pStyle w:val="Heading1"/>
      </w:pPr>
      <w:r>
        <w:t>Suite donnée</w:t>
      </w:r>
    </w:p>
    <w:p>
      <w:r>
        <w:t>Modalités convenues {{modalites_avoir}}.</w:t>
      </w:r>
    </w:p>
    <w:p>
      <w:r>
        <w:t>Le document rectifie la facture référencée sans supprimer son original. Il précise les sommes créditées et leur imputation sur la facture d’origine.</w:t>
      </w:r>
    </w:p>
    <w:p>
      <w:r>
        <w:t>Un remboursement éventuel fait l’objet d’une opération distincte, rapprochée du paiement et approuvée avant exécution.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Avoir sur honoraires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