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904E" w14:textId="7D72664C" w:rsidR="00CF55EA" w:rsidRDefault="005B0753" w:rsidP="005B0753">
      <w:pPr>
        <w:pStyle w:val="TimesNewRoman"/>
        <w:rPr>
          <w:b/>
          <w:bCs/>
        </w:rPr>
      </w:pPr>
      <w:r>
        <w:rPr>
          <w:b/>
          <w:bCs/>
        </w:rPr>
        <w:t>Contextualização de uso Java versão 11</w:t>
      </w:r>
    </w:p>
    <w:p w14:paraId="28CB636D" w14:textId="37CD576D" w:rsidR="005B0753" w:rsidRDefault="003E66F4" w:rsidP="005B0753">
      <w:pPr>
        <w:pStyle w:val="TimesNewRoman"/>
        <w:jc w:val="both"/>
      </w:pPr>
      <w:r w:rsidRPr="003E66F4">
        <w:rPr>
          <w:noProof/>
        </w:rPr>
        <w:drawing>
          <wp:inline distT="0" distB="0" distL="0" distR="0" wp14:anchorId="04E6BC7A" wp14:editId="5E4F7065">
            <wp:extent cx="4882551" cy="2538881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240" cy="253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D214" w14:textId="1C99B2BA" w:rsidR="00942F09" w:rsidRDefault="00942F09" w:rsidP="005B0753">
      <w:pPr>
        <w:pStyle w:val="TimesNewRoman"/>
        <w:jc w:val="both"/>
      </w:pPr>
      <w:r>
        <w:rPr>
          <w:b/>
          <w:bCs/>
        </w:rPr>
        <w:t xml:space="preserve">Palavras reservadas: </w:t>
      </w:r>
      <w:r>
        <w:t>Que não podem ser usadas para nomear uma classe, variável ou atributo.</w:t>
      </w:r>
    </w:p>
    <w:p w14:paraId="4F6A42AA" w14:textId="70D712C9" w:rsidR="00633DCD" w:rsidRDefault="00633DCD" w:rsidP="00633DCD">
      <w:pPr>
        <w:pStyle w:val="TimesNewRoman"/>
        <w:rPr>
          <w:b/>
          <w:bCs/>
        </w:rPr>
      </w:pPr>
      <w:r>
        <w:rPr>
          <w:b/>
          <w:bCs/>
        </w:rPr>
        <w:t>Declaração de classes</w:t>
      </w:r>
    </w:p>
    <w:p w14:paraId="408775C8" w14:textId="65757994" w:rsidR="00633DCD" w:rsidRDefault="00633DCD" w:rsidP="00633DCD">
      <w:pPr>
        <w:pStyle w:val="TimesNewRoman"/>
        <w:jc w:val="both"/>
      </w:pPr>
      <w:r>
        <w:t>Exemplo:</w:t>
      </w:r>
    </w:p>
    <w:p w14:paraId="53ED62EE" w14:textId="77777777" w:rsidR="00633DCD" w:rsidRDefault="00633DCD" w:rsidP="00633DCD">
      <w:pPr>
        <w:pStyle w:val="TimesNewRoman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{</w:t>
      </w:r>
    </w:p>
    <w:p w14:paraId="754E3328" w14:textId="65757269" w:rsidR="00633DCD" w:rsidRDefault="00633DCD" w:rsidP="00633DCD">
      <w:pPr>
        <w:pStyle w:val="TimesNewRoman"/>
        <w:jc w:val="both"/>
      </w:pPr>
      <w:r>
        <w:tab/>
        <w:t>/ /atributos</w:t>
      </w:r>
    </w:p>
    <w:p w14:paraId="4B143431" w14:textId="235F9123" w:rsidR="00633DCD" w:rsidRDefault="00633DCD" w:rsidP="00633DCD">
      <w:pPr>
        <w:pStyle w:val="TimesNewRoman"/>
        <w:jc w:val="both"/>
      </w:pPr>
      <w:r>
        <w:tab/>
        <w:t xml:space="preserve">Private final </w:t>
      </w:r>
      <w:proofErr w:type="spellStart"/>
      <w:r>
        <w:t>String</w:t>
      </w:r>
      <w:proofErr w:type="spellEnd"/>
      <w:r>
        <w:t xml:space="preserve"> code;</w:t>
      </w:r>
    </w:p>
    <w:p w14:paraId="6BDC815C" w14:textId="39254E6C" w:rsidR="00633DCD" w:rsidRDefault="00633DCD" w:rsidP="00633DCD">
      <w:pPr>
        <w:pStyle w:val="TimesNewRoman"/>
        <w:jc w:val="both"/>
      </w:pPr>
      <w:r>
        <w:tab/>
        <w:t xml:space="preserve">Private final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totalValue</w:t>
      </w:r>
      <w:proofErr w:type="spellEnd"/>
      <w:r>
        <w:t>;</w:t>
      </w:r>
    </w:p>
    <w:p w14:paraId="27CE8499" w14:textId="73BA59FD" w:rsidR="00633DCD" w:rsidRDefault="00633DCD" w:rsidP="00633DCD">
      <w:pPr>
        <w:pStyle w:val="TimesNewRoman"/>
        <w:jc w:val="both"/>
      </w:pPr>
      <w:r>
        <w:tab/>
        <w:t>// métodos</w:t>
      </w:r>
    </w:p>
    <w:p w14:paraId="219DC340" w14:textId="77777777" w:rsidR="00633DCD" w:rsidRDefault="00633DCD" w:rsidP="00633DCD">
      <w:pPr>
        <w:pStyle w:val="TimesNewRoman"/>
        <w:jc w:val="both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calculateFee</w:t>
      </w:r>
      <w:proofErr w:type="spellEnd"/>
      <w:r>
        <w:t>(){</w:t>
      </w:r>
    </w:p>
    <w:p w14:paraId="236BA62C" w14:textId="504C7E80" w:rsidR="00633DCD" w:rsidRDefault="00633DCD" w:rsidP="00633DCD">
      <w:pPr>
        <w:pStyle w:val="TimesNewRoman"/>
        <w:ind w:firstLine="708"/>
        <w:jc w:val="both"/>
      </w:pPr>
      <w:r>
        <w:t>}</w:t>
      </w:r>
    </w:p>
    <w:p w14:paraId="66C600CC" w14:textId="03FEFAED" w:rsidR="00633DCD" w:rsidRDefault="00633DCD" w:rsidP="00633DCD">
      <w:pPr>
        <w:pStyle w:val="TimesNewRoman"/>
        <w:jc w:val="both"/>
      </w:pPr>
      <w:r>
        <w:t>}</w:t>
      </w:r>
    </w:p>
    <w:p w14:paraId="0B16C7E3" w14:textId="5EFDFC37" w:rsidR="000C5991" w:rsidRPr="00633DCD" w:rsidRDefault="00D418D8" w:rsidP="00633DCD">
      <w:pPr>
        <w:pStyle w:val="TimesNewRoman"/>
        <w:jc w:val="both"/>
      </w:pPr>
      <w:r w:rsidRPr="00D418D8">
        <w:rPr>
          <w:noProof/>
        </w:rPr>
        <w:drawing>
          <wp:inline distT="0" distB="0" distL="0" distR="0" wp14:anchorId="53A5B372" wp14:editId="25304A2F">
            <wp:extent cx="3562709" cy="2529591"/>
            <wp:effectExtent l="0" t="0" r="0" b="444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050" cy="253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991" w:rsidRPr="00633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DE"/>
    <w:rsid w:val="000C5991"/>
    <w:rsid w:val="002347C3"/>
    <w:rsid w:val="003E66F4"/>
    <w:rsid w:val="005B0753"/>
    <w:rsid w:val="00633DCD"/>
    <w:rsid w:val="00942F09"/>
    <w:rsid w:val="00B76561"/>
    <w:rsid w:val="00C359DE"/>
    <w:rsid w:val="00CF55EA"/>
    <w:rsid w:val="00D4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A83B"/>
  <w15:chartTrackingRefBased/>
  <w15:docId w15:val="{45257B3C-A7EE-42B0-A49E-DBE8ADDA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5B0753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5B075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269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9</cp:revision>
  <dcterms:created xsi:type="dcterms:W3CDTF">2022-01-24T19:55:00Z</dcterms:created>
  <dcterms:modified xsi:type="dcterms:W3CDTF">2022-01-24T20:34:00Z</dcterms:modified>
</cp:coreProperties>
</file>