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2A04" w14:textId="08906F8C" w:rsidR="001652EE" w:rsidRDefault="001652EE" w:rsidP="002F1D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Como utilizar a concatenação</w:t>
      </w:r>
    </w:p>
    <w:p w14:paraId="671938E6" w14:textId="7AEF1A4B" w:rsidR="002F1DF5" w:rsidRDefault="002F1DF5" w:rsidP="002F1D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Definição de concatenação:</w:t>
      </w:r>
    </w:p>
    <w:p w14:paraId="41D0AB54" w14:textId="110A729C" w:rsidR="002F1DF5" w:rsidRDefault="002F1DF5" w:rsidP="002F1D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Concatenação é um termo usado em computação para designar a operação de unir o conteúdo de duas strings (uma sequência de caracteres).”</w:t>
      </w:r>
    </w:p>
    <w:p w14:paraId="58DB8B1C" w14:textId="72192E45" w:rsidR="002F1DF5" w:rsidRDefault="002F1DF5" w:rsidP="002F1D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Outra definição:</w:t>
      </w:r>
    </w:p>
    <w:p w14:paraId="53C93F66" w14:textId="77777777" w:rsidR="002F1DF5" w:rsidRDefault="002F1DF5" w:rsidP="002F1D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de duas ou mais células que, incluindo fórmulas, textos ou outras informações contidas no seu interior, dá origem a um </w:t>
      </w:r>
      <w:r w:rsidRPr="002F1DF5">
        <w:rPr>
          <w:rFonts w:ascii="Times New Roman" w:hAnsi="Times New Roman" w:cs="Times New Roman"/>
          <w:b/>
          <w:bCs/>
          <w:sz w:val="24"/>
          <w:szCs w:val="24"/>
        </w:rPr>
        <w:t>único resultado.</w:t>
      </w:r>
    </w:p>
    <w:p w14:paraId="4B110434" w14:textId="12474907" w:rsidR="002F1DF5" w:rsidRPr="002F1DF5" w:rsidRDefault="002F1DF5" w:rsidP="002F1D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F1DF5" w:rsidRPr="002F1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E8"/>
    <w:rsid w:val="001652EE"/>
    <w:rsid w:val="002F1DF5"/>
    <w:rsid w:val="008A5D3B"/>
    <w:rsid w:val="00A7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3E28"/>
  <w15:chartTrackingRefBased/>
  <w15:docId w15:val="{45E25711-BB3C-47C3-896F-B418B6DA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303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3</cp:revision>
  <dcterms:created xsi:type="dcterms:W3CDTF">2022-01-20T19:32:00Z</dcterms:created>
  <dcterms:modified xsi:type="dcterms:W3CDTF">2022-01-21T18:35:00Z</dcterms:modified>
</cp:coreProperties>
</file>