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Data Documentation: Pokémon TCG Tournament Matchup Data</w:t>
        <w:br/>
        <w:t>and Formally Verified Game-Theoretic Analysis</w:t>
      </w:r>
    </w:p>
    <w:p>
      <w:r>
        <w:rPr>
          <w:rFonts w:ascii="Times New Roman" w:hAnsi="Times New Roman"/>
          <w:b w:val="0"/>
          <w:sz w:val="22"/>
        </w:rPr>
        <w:t>This document describes the structure, provenance, and interpretation of all files included in the dataset.</w:t>
      </w:r>
    </w:p>
    <w:p>
      <w:pPr>
        <w:pStyle w:val="Heading2"/>
      </w:pPr>
      <w:r>
        <w:rPr>
          <w:rFonts w:ascii="Times New Roman" w:hAnsi="Times New Roman"/>
        </w:rPr>
        <w:t>1. Data Source and Collection</w:t>
      </w:r>
    </w:p>
    <w:p>
      <w:r>
        <w:rPr>
          <w:rFonts w:ascii="Times New Roman" w:hAnsi="Times New Roman"/>
          <w:b w:val="0"/>
          <w:sz w:val="22"/>
        </w:rPr>
        <w:t>All empirical data were scraped from Trainer Hill (https://www.trainerhill.com/meta?game=PTCG) on February 19, 2026. The query filters were:</w:t>
      </w:r>
    </w:p>
    <w:p>
      <w:pPr>
        <w:pStyle w:val="ListBullet"/>
      </w:pPr>
      <w:r>
        <w:rPr>
          <w:rFonts w:ascii="Times New Roman" w:hAnsi="Times New Roman"/>
          <w:sz w:val="22"/>
        </w:rPr>
        <w:t>Game: Pokémon Trading Card Game (PTCG)</w:t>
      </w:r>
    </w:p>
    <w:p>
      <w:pPr>
        <w:pStyle w:val="ListBullet"/>
      </w:pPr>
      <w:r>
        <w:rPr>
          <w:rFonts w:ascii="Times New Roman" w:hAnsi="Times New Roman"/>
          <w:sz w:val="22"/>
        </w:rPr>
        <w:t>Tournament size: 50+ players</w:t>
      </w:r>
    </w:p>
    <w:p>
      <w:pPr>
        <w:pStyle w:val="ListBullet"/>
      </w:pPr>
      <w:r>
        <w:rPr>
          <w:rFonts w:ascii="Times New Roman" w:hAnsi="Times New Roman"/>
          <w:sz w:val="22"/>
        </w:rPr>
        <w:t>Date range: January 29 – February 19, 2026</w:t>
      </w:r>
    </w:p>
    <w:p>
      <w:pPr>
        <w:pStyle w:val="ListBullet"/>
      </w:pPr>
      <w:r>
        <w:rPr>
          <w:rFonts w:ascii="Times New Roman" w:hAnsi="Times New Roman"/>
          <w:sz w:val="22"/>
        </w:rPr>
        <w:t>Platforms: all</w:t>
      </w:r>
    </w:p>
    <w:p>
      <w:pPr>
        <w:pStyle w:val="ListBullet"/>
      </w:pPr>
      <w:r>
        <w:rPr>
          <w:rFonts w:ascii="Times New Roman" w:hAnsi="Times New Roman"/>
          <w:sz w:val="22"/>
        </w:rPr>
        <w:t>Tie counting: 1/3 win (i.e., WR% = (W + T/3) / (W + L + T))</w:t>
      </w:r>
    </w:p>
    <w:p>
      <w:r>
        <w:rPr>
          <w:rFonts w:ascii="Times New Roman" w:hAnsi="Times New Roman"/>
          <w:b w:val="0"/>
          <w:sz w:val="22"/>
        </w:rPr>
        <w:t>Trainer Hill aggregates results from officially sanctioned Pokémon TCG tournaments. The data represent thousands of matches across dozens of events during the Stellar Crown – Prismatic Evolutions (SVI-PFL) format.</w:t>
      </w:r>
    </w:p>
    <w:p>
      <w:pPr>
        <w:pStyle w:val="Heading2"/>
      </w:pPr>
      <w:r>
        <w:rPr>
          <w:rFonts w:ascii="Times New Roman" w:hAnsi="Times New Roman"/>
        </w:rPr>
        <w:t>2. File Descriptions</w:t>
      </w:r>
    </w:p>
    <w:p>
      <w:pPr>
        <w:pStyle w:val="Heading3"/>
      </w:pPr>
      <w:r>
        <w:rPr>
          <w:rFonts w:ascii="Times New Roman" w:hAnsi="Times New Roman"/>
        </w:rPr>
        <w:t>2.1 trainerhill_matchups_2026-02-19.md</w:t>
      </w:r>
    </w:p>
    <w:p>
      <w:r>
        <w:rPr>
          <w:rFonts w:ascii="Times New Roman" w:hAnsi="Times New Roman"/>
          <w:b w:val="0"/>
          <w:sz w:val="22"/>
        </w:rPr>
        <w:t>Format: Markdown with tables</w:t>
      </w:r>
    </w:p>
    <w:p>
      <w:r>
        <w:rPr>
          <w:rFonts w:ascii="Times New Roman" w:hAnsi="Times New Roman"/>
          <w:b w:val="0"/>
          <w:sz w:val="22"/>
        </w:rPr>
        <w:t>Size: ~12 KB (325 lines)</w:t>
      </w:r>
    </w:p>
    <w:p>
      <w:r>
        <w:rPr>
          <w:rFonts w:ascii="Times New Roman" w:hAnsi="Times New Roman"/>
          <w:b/>
          <w:sz w:val="22"/>
        </w:rPr>
        <w:t>This is the primary empirical data file containing:</w:t>
      </w:r>
    </w:p>
    <w:p>
      <w:pPr>
        <w:pStyle w:val="ListBullet"/>
      </w:pPr>
      <w:r>
        <w:rPr>
          <w:rFonts w:ascii="Times New Roman" w:hAnsi="Times New Roman"/>
          <w:sz w:val="22"/>
        </w:rPr>
        <w:t>Meta shares (overall): popularity of each of the 14 archetypes across all tournaments</w:t>
      </w:r>
    </w:p>
    <w:p>
      <w:pPr>
        <w:pStyle w:val="ListBullet"/>
      </w:pPr>
      <w:r>
        <w:rPr>
          <w:rFonts w:ascii="Times New Roman" w:hAnsi="Times New Roman"/>
          <w:sz w:val="22"/>
        </w:rPr>
        <w:t>Top-8 shares: popularity among top-8 finishers only</w:t>
      </w:r>
    </w:p>
    <w:p>
      <w:pPr>
        <w:pStyle w:val="ListBullet"/>
      </w:pPr>
      <w:r>
        <w:rPr>
          <w:rFonts w:ascii="Times New Roman" w:hAnsi="Times New Roman"/>
          <w:sz w:val="22"/>
        </w:rPr>
        <w:t>Full 14×14 matchup matrix: for each ordered pair of decks (row = player, column = opponent), the file reports the win rate percentage and the raw win-loss-tie record</w:t>
      </w:r>
    </w:p>
    <w:p>
      <w:pPr>
        <w:pStyle w:val="ListBullet"/>
      </w:pPr>
      <w:r>
        <w:rPr>
          <w:rFonts w:ascii="Times New Roman" w:hAnsi="Times New Roman"/>
          <w:sz w:val="22"/>
        </w:rPr>
        <w:t>Condensed 6×6 matrix: a subset of the top 6 decks for quick reference</w:t>
      </w:r>
    </w:p>
    <w:p>
      <w:pPr>
        <w:pStyle w:val="ListBullet"/>
      </w:pPr>
      <w:r>
        <w:rPr>
          <w:rFonts w:ascii="Times New Roman" w:hAnsi="Times New Roman"/>
          <w:sz w:val="22"/>
        </w:rPr>
        <w:t>Sample sizes: total match counts for key matchups (e.g., Dragapult mirror: 2,845 games)</w:t>
      </w:r>
    </w:p>
    <w:p>
      <w:pPr>
        <w:pStyle w:val="Heading3"/>
      </w:pPr>
      <w:r>
        <w:rPr>
          <w:rFonts w:ascii="Times New Roman" w:hAnsi="Times New Roman"/>
        </w:rPr>
        <w:t>The 14 Archetypes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#</w:t>
            </w:r>
          </w:p>
        </w:tc>
        <w:tc>
          <w:tcPr>
            <w:tcW w:type="dxa" w:w="3120"/>
          </w:tcPr>
          <w:p>
            <w:r>
              <w:t>Archetype</w:t>
            </w:r>
          </w:p>
        </w:tc>
        <w:tc>
          <w:tcPr>
            <w:tcW w:type="dxa" w:w="3120"/>
          </w:tcPr>
          <w:p>
            <w:r>
              <w:t>Meta Share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Dragapult Dusknoir</w:t>
            </w:r>
          </w:p>
        </w:tc>
        <w:tc>
          <w:tcPr>
            <w:tcW w:type="dxa" w:w="3120"/>
          </w:tcPr>
          <w:p>
            <w:r>
              <w:t>15.5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Gholdengo Lunatone</w:t>
            </w:r>
          </w:p>
        </w:tc>
        <w:tc>
          <w:tcPr>
            <w:tcW w:type="dxa" w:w="3120"/>
          </w:tcPr>
          <w:p>
            <w:r>
              <w:t>9.9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Grimmsnarl Froslass</w:t>
            </w:r>
          </w:p>
        </w:tc>
        <w:tc>
          <w:tcPr>
            <w:tcW w:type="dxa" w:w="3120"/>
          </w:tcPr>
          <w:p>
            <w:r>
              <w:t>5.1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Mega Absol Box</w:t>
            </w:r>
          </w:p>
        </w:tc>
        <w:tc>
          <w:tcPr>
            <w:tcW w:type="dxa" w:w="3120"/>
          </w:tcPr>
          <w:p>
            <w:r>
              <w:t>5.0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Other (aggregated)</w:t>
            </w:r>
          </w:p>
        </w:tc>
        <w:tc>
          <w:tcPr>
            <w:tcW w:type="dxa" w:w="3120"/>
          </w:tcPr>
          <w:p>
            <w:r>
              <w:t>4.8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Gardevoir</w:t>
            </w:r>
          </w:p>
        </w:tc>
        <w:tc>
          <w:tcPr>
            <w:tcW w:type="dxa" w:w="3120"/>
          </w:tcPr>
          <w:p>
            <w:r>
              <w:t>4.6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Charizard Noctowl</w:t>
            </w:r>
          </w:p>
        </w:tc>
        <w:tc>
          <w:tcPr>
            <w:tcW w:type="dxa" w:w="3120"/>
          </w:tcPr>
          <w:p>
            <w:r>
              <w:t>4.3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Gardevoir Jellicent</w:t>
            </w:r>
          </w:p>
        </w:tc>
        <w:tc>
          <w:tcPr>
            <w:tcW w:type="dxa" w:w="3120"/>
          </w:tcPr>
          <w:p>
            <w:r>
              <w:t>4.2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Dragapult Charizard</w:t>
            </w:r>
          </w:p>
        </w:tc>
        <w:tc>
          <w:tcPr>
            <w:tcW w:type="dxa" w:w="3120"/>
          </w:tcPr>
          <w:p>
            <w:r>
              <w:t>3.5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Raging Bolt Ogerpon</w:t>
            </w:r>
          </w:p>
        </w:tc>
        <w:tc>
          <w:tcPr>
            <w:tcW w:type="dxa" w:w="3120"/>
          </w:tcPr>
          <w:p>
            <w:r>
              <w:t>3.4</w:t>
            </w:r>
          </w:p>
        </w:tc>
      </w:tr>
      <w:tr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Alakazam Dudunsparce</w:t>
            </w:r>
          </w:p>
        </w:tc>
        <w:tc>
          <w:tcPr>
            <w:tcW w:type="dxa" w:w="3120"/>
          </w:tcPr>
          <w:p>
            <w:r>
              <w:t>3.2</w:t>
            </w:r>
          </w:p>
        </w:tc>
      </w:tr>
      <w:tr>
        <w:tc>
          <w:tcPr>
            <w:tcW w:type="dxa" w:w="3120"/>
          </w:tcPr>
          <w:p>
            <w:r>
              <w:t>12</w:t>
            </w:r>
          </w:p>
        </w:tc>
        <w:tc>
          <w:tcPr>
            <w:tcW w:type="dxa" w:w="3120"/>
          </w:tcPr>
          <w:p>
            <w:r>
              <w:t>N's Zoroark</w:t>
            </w:r>
          </w:p>
        </w:tc>
        <w:tc>
          <w:tcPr>
            <w:tcW w:type="dxa" w:w="3120"/>
          </w:tcPr>
          <w:p>
            <w:r>
              <w:t>3.1</w:t>
            </w:r>
          </w:p>
        </w:tc>
      </w:tr>
      <w:tr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Ceruledge</w:t>
            </w:r>
          </w:p>
        </w:tc>
        <w:tc>
          <w:tcPr>
            <w:tcW w:type="dxa" w:w="3120"/>
          </w:tcPr>
          <w:p>
            <w:r>
              <w:t>2.8</w:t>
            </w:r>
          </w:p>
        </w:tc>
      </w:tr>
      <w:tr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Kangaskhan Bouffalant</w:t>
            </w:r>
          </w:p>
        </w:tc>
        <w:tc>
          <w:tcPr>
            <w:tcW w:type="dxa" w:w="3120"/>
          </w:tcPr>
          <w:p>
            <w:r>
              <w:t>2.5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Reading the Matchup Matrix</w:t>
      </w:r>
    </w:p>
    <w:p>
      <w:r>
        <w:rPr>
          <w:rFonts w:ascii="Times New Roman" w:hAnsi="Times New Roman"/>
          <w:b w:val="0"/>
          <w:sz w:val="22"/>
        </w:rPr>
        <w:t>Each archetype section contains a table with columns:</w:t>
      </w:r>
    </w:p>
    <w:p>
      <w:pPr>
        <w:pStyle w:val="ListBullet"/>
      </w:pPr>
      <w:r>
        <w:rPr>
          <w:rFonts w:ascii="Times New Roman" w:hAnsi="Times New Roman"/>
          <w:sz w:val="22"/>
        </w:rPr>
        <w:t>vs — the opponent archetype</w:t>
      </w:r>
    </w:p>
    <w:p>
      <w:pPr>
        <w:pStyle w:val="ListBullet"/>
      </w:pPr>
      <w:r>
        <w:rPr>
          <w:rFonts w:ascii="Times New Roman" w:hAnsi="Times New Roman"/>
          <w:sz w:val="22"/>
        </w:rPr>
        <w:t>WR% — win rate as a percentage, computed as (W + T/3) / (W + L + T)</w:t>
      </w:r>
    </w:p>
    <w:p>
      <w:pPr>
        <w:pStyle w:val="ListBullet"/>
      </w:pPr>
      <w:r>
        <w:rPr>
          <w:rFonts w:ascii="Times New Roman" w:hAnsi="Times New Roman"/>
          <w:sz w:val="22"/>
        </w:rPr>
        <w:t>W-L-T — raw win, loss, and tie counts</w:t>
      </w:r>
    </w:p>
    <w:p>
      <w:r>
        <w:rPr>
          <w:rFonts w:ascii="Times New Roman" w:hAnsi="Times New Roman"/>
          <w:b w:val="0"/>
          <w:sz w:val="22"/>
        </w:rPr>
        <w:t>The matrix is not perfectly symmetric because WR_A_vs_B + WR_B_vs_A ≈ 100% but not exactly, due to the tie-counting formula.</w:t>
      </w:r>
    </w:p>
    <w:p>
      <w:pPr>
        <w:pStyle w:val="Heading3"/>
      </w:pPr>
      <w:r>
        <w:rPr>
          <w:rFonts w:ascii="Times New Roman" w:hAnsi="Times New Roman"/>
        </w:rPr>
        <w:t>2.2 bootstrap_nash_results.txt</w:t>
      </w:r>
    </w:p>
    <w:p>
      <w:r>
        <w:rPr>
          <w:rFonts w:ascii="Times New Roman" w:hAnsi="Times New Roman"/>
          <w:b w:val="0"/>
          <w:sz w:val="22"/>
        </w:rPr>
        <w:t>Format: Plain text</w:t>
      </w:r>
    </w:p>
    <w:p>
      <w:r>
        <w:rPr>
          <w:rFonts w:ascii="Times New Roman" w:hAnsi="Times New Roman"/>
          <w:b w:val="0"/>
          <w:sz w:val="22"/>
        </w:rPr>
        <w:t>Size: ~4 KB (90 lines)</w:t>
      </w:r>
    </w:p>
    <w:p>
      <w:r>
        <w:rPr>
          <w:rFonts w:ascii="Times New Roman" w:hAnsi="Times New Roman"/>
          <w:b w:val="0"/>
          <w:sz w:val="22"/>
        </w:rPr>
        <w:t>Contains the results of a 10,000-iteration bootstrap stability analysis of the Nash equilibrium. For each iteration, the 14×14 matchup matrix was resampled (with replacement from original W-L-T counts), and a new Nash equilibrium was computed. The file reports:</w:t>
      </w:r>
    </w:p>
    <w:p>
      <w:pPr>
        <w:pStyle w:val="ListBullet"/>
      </w:pPr>
      <w:r>
        <w:rPr>
          <w:rFonts w:ascii="Times New Roman" w:hAnsi="Times New Roman"/>
          <w:sz w:val="22"/>
        </w:rPr>
        <w:t>Support frequency: how often each deck appears in the Nash support across 10,000 resamples</w:t>
      </w:r>
    </w:p>
    <w:p>
      <w:pPr>
        <w:pStyle w:val="ListBullet"/>
      </w:pPr>
      <w:r>
        <w:rPr>
          <w:rFonts w:ascii="Times New Roman" w:hAnsi="Times New Roman"/>
          <w:sz w:val="22"/>
        </w:rPr>
        <w:t>Weight statistics: mean, median, standard deviation, and Wilson 95% confidence intervals for each deck's Nash weight</w:t>
      </w:r>
    </w:p>
    <w:p>
      <w:pPr>
        <w:pStyle w:val="ListBullet"/>
      </w:pPr>
      <w:r>
        <w:rPr>
          <w:rFonts w:ascii="Times New Roman" w:hAnsi="Times New Roman"/>
          <w:sz w:val="22"/>
        </w:rPr>
        <w:t>Game value: the expected payoff at equilibrium (47.96% ± CI)</w:t>
      </w:r>
    </w:p>
    <w:p>
      <w:pPr>
        <w:pStyle w:val="ListBullet"/>
      </w:pPr>
      <w:r>
        <w:rPr>
          <w:rFonts w:ascii="Times New Roman" w:hAnsi="Times New Roman"/>
          <w:sz w:val="22"/>
        </w:rPr>
        <w:t>Core support decks appear in &gt;96% of resampled equilibria, confirming qualitative stability</w:t>
      </w:r>
    </w:p>
    <w:p>
      <w:pPr>
        <w:pStyle w:val="Heading3"/>
      </w:pPr>
      <w:r>
        <w:rPr>
          <w:rFonts w:ascii="Times New Roman" w:hAnsi="Times New Roman"/>
        </w:rPr>
        <w:t>2.3 symmetric_nash_results.txt</w:t>
      </w:r>
    </w:p>
    <w:p>
      <w:r>
        <w:rPr>
          <w:rFonts w:ascii="Times New Roman" w:hAnsi="Times New Roman"/>
          <w:b w:val="0"/>
          <w:sz w:val="22"/>
        </w:rPr>
        <w:t>Format: Plain text</w:t>
      </w:r>
    </w:p>
    <w:p>
      <w:r>
        <w:rPr>
          <w:rFonts w:ascii="Times New Roman" w:hAnsi="Times New Roman"/>
          <w:b w:val="0"/>
          <w:sz w:val="22"/>
        </w:rPr>
        <w:t>Size: ~4 KB (77 lines)</w:t>
      </w:r>
    </w:p>
    <w:p>
      <w:r>
        <w:rPr>
          <w:rFonts w:ascii="Times New Roman" w:hAnsi="Times New Roman"/>
          <w:b w:val="0"/>
          <w:sz w:val="22"/>
        </w:rPr>
        <w:t>Contains the Nash equilibrium of the symmetrized constant-sum game. The symmetrization transforms the matchup matrix M into M' where M'_ij = (M_ij + (1000 - M_ji)) / 2, yielding a zero-sum game. The file reports:</w:t>
      </w:r>
    </w:p>
    <w:p>
      <w:pPr>
        <w:pStyle w:val="ListBullet"/>
      </w:pPr>
      <w:r>
        <w:rPr>
          <w:rFonts w:ascii="Times New Roman" w:hAnsi="Times New Roman"/>
          <w:sz w:val="22"/>
        </w:rPr>
        <w:t>Maximum deviation from perfect symmetry: max|M_ij + M_ji - 1000| = 73 permil</w:t>
      </w:r>
    </w:p>
    <w:p>
      <w:pPr>
        <w:pStyle w:val="ListBullet"/>
      </w:pPr>
      <w:r>
        <w:rPr>
          <w:rFonts w:ascii="Times New Roman" w:hAnsi="Times New Roman"/>
          <w:sz w:val="22"/>
        </w:rPr>
        <w:t>Symmetric Nash strategy: 7-deck support with exact rational weights</w:t>
      </w:r>
    </w:p>
    <w:p>
      <w:pPr>
        <w:pStyle w:val="ListBullet"/>
      </w:pPr>
      <w:r>
        <w:rPr>
          <w:rFonts w:ascii="Times New Roman" w:hAnsi="Times New Roman"/>
          <w:sz w:val="22"/>
        </w:rPr>
        <w:t>Game value: exactly 500 permil (as expected for a symmetric zero-sum game)</w:t>
      </w:r>
    </w:p>
    <w:p>
      <w:pPr>
        <w:pStyle w:val="ListBullet"/>
      </w:pPr>
      <w:r>
        <w:rPr>
          <w:rFonts w:ascii="Times New Roman" w:hAnsi="Times New Roman"/>
          <w:sz w:val="22"/>
        </w:rPr>
        <w:t>Dragapult Dusknoir receives 0% weight despite 15.5% meta share (the "popularity paradox")</w:t>
      </w:r>
    </w:p>
    <w:p>
      <w:pPr>
        <w:pStyle w:val="Heading3"/>
      </w:pPr>
      <w:r>
        <w:rPr>
          <w:rFonts w:ascii="Times New Roman" w:hAnsi="Times New Roman"/>
        </w:rPr>
        <w:t>2.4 predictive_validation.txt</w:t>
      </w:r>
    </w:p>
    <w:p>
      <w:r>
        <w:rPr>
          <w:rFonts w:ascii="Times New Roman" w:hAnsi="Times New Roman"/>
          <w:b w:val="0"/>
          <w:sz w:val="22"/>
        </w:rPr>
        <w:t>Format: Plain text</w:t>
      </w:r>
    </w:p>
    <w:p>
      <w:r>
        <w:rPr>
          <w:rFonts w:ascii="Times New Roman" w:hAnsi="Times New Roman"/>
          <w:b w:val="0"/>
          <w:sz w:val="22"/>
        </w:rPr>
        <w:t>Size: ~4 KB (68 lines)</w:t>
      </w:r>
    </w:p>
    <w:p>
      <w:r>
        <w:rPr>
          <w:rFonts w:ascii="Times New Roman" w:hAnsi="Times New Roman"/>
          <w:b w:val="0"/>
          <w:sz w:val="22"/>
        </w:rPr>
        <w:t>Contains a predictive validation test of the replicator dynamics model. Single-step replicator dynamics on the full 14-deck game were computed using meta shares as initial population frequencies and the matchup matrix as the payoff matrix. Predictions (grow/shrink/stable) were compared against actual Trainer Hill trend arrows observed between February 19 and 20, 2026. The file reports:</w:t>
      </w:r>
    </w:p>
    <w:p>
      <w:pPr>
        <w:pStyle w:val="ListBullet"/>
      </w:pPr>
      <w:r>
        <w:rPr>
          <w:rFonts w:ascii="Times New Roman" w:hAnsi="Times New Roman"/>
          <w:sz w:val="22"/>
        </w:rPr>
        <w:t>Per-deck fitness values and predicted direction</w:t>
      </w:r>
    </w:p>
    <w:p>
      <w:pPr>
        <w:pStyle w:val="ListBullet"/>
      </w:pPr>
      <w:r>
        <w:rPr>
          <w:rFonts w:ascii="Times New Roman" w:hAnsi="Times New Roman"/>
          <w:sz w:val="22"/>
        </w:rPr>
        <w:t>Observed trend arrows from Trainer Hill</w:t>
      </w:r>
    </w:p>
    <w:p>
      <w:pPr>
        <w:pStyle w:val="ListBullet"/>
      </w:pPr>
      <w:r>
        <w:rPr>
          <w:rFonts w:ascii="Times New Roman" w:hAnsi="Times New Roman"/>
          <w:sz w:val="22"/>
        </w:rPr>
        <w:t>Match/mismatch classification: 2 out of 3 testable predictions confirmed</w:t>
      </w:r>
    </w:p>
    <w:p>
      <w:pPr>
        <w:pStyle w:val="Heading3"/>
      </w:pPr>
      <w:r>
        <w:rPr>
          <w:rFonts w:ascii="Times New Roman" w:hAnsi="Times New Roman"/>
        </w:rPr>
        <w:t>2.5 native_decide_audit.txt</w:t>
      </w:r>
    </w:p>
    <w:p>
      <w:r>
        <w:rPr>
          <w:rFonts w:ascii="Times New Roman" w:hAnsi="Times New Roman"/>
          <w:b w:val="0"/>
          <w:sz w:val="22"/>
        </w:rPr>
        <w:t>Format: Plain text</w:t>
      </w:r>
    </w:p>
    <w:p>
      <w:r>
        <w:rPr>
          <w:rFonts w:ascii="Times New Roman" w:hAnsi="Times New Roman"/>
          <w:b w:val="0"/>
          <w:sz w:val="22"/>
        </w:rPr>
        <w:t>Size: ~7 KB (137 lines)</w:t>
      </w:r>
    </w:p>
    <w:p>
      <w:r>
        <w:rPr>
          <w:rFonts w:ascii="Times New Roman" w:hAnsi="Times New Roman"/>
          <w:b w:val="0"/>
          <w:sz w:val="22"/>
        </w:rPr>
        <w:t>An audit of all native_decide proof closures in the Lean 4 artifact. native_decide is a Lean tactic that trusts the compiler's evaluation rather than constructing kernel-checkable proof terms. This file catalogues every use, enabling reviewers to assess the trust boundary. The file reports:</w:t>
      </w:r>
    </w:p>
    <w:p>
      <w:pPr>
        <w:pStyle w:val="ListBullet"/>
      </w:pPr>
      <w:r>
        <w:rPr>
          <w:rFonts w:ascii="Times New Roman" w:hAnsi="Times New Roman"/>
          <w:sz w:val="22"/>
        </w:rPr>
        <w:t>File-by-file listing of every native_decide invocation</w:t>
      </w:r>
    </w:p>
    <w:p>
      <w:pPr>
        <w:pStyle w:val="ListBullet"/>
      </w:pPr>
      <w:r>
        <w:rPr>
          <w:rFonts w:ascii="Times New Roman" w:hAnsi="Times New Roman"/>
          <w:sz w:val="22"/>
        </w:rPr>
        <w:t>What each invocation proves (e.g., matrix entry verification, Nash optimality check)</w:t>
      </w:r>
    </w:p>
    <w:p>
      <w:pPr>
        <w:pStyle w:val="ListBullet"/>
      </w:pPr>
      <w:r>
        <w:rPr>
          <w:rFonts w:ascii="Times New Roman" w:hAnsi="Times New Roman"/>
          <w:sz w:val="22"/>
        </w:rPr>
        <w:t>Total count and classification by proof category</w:t>
      </w:r>
    </w:p>
    <w:p>
      <w:pPr>
        <w:pStyle w:val="Heading2"/>
      </w:pPr>
      <w:r>
        <w:rPr>
          <w:rFonts w:ascii="Times New Roman" w:hAnsi="Times New Roman"/>
        </w:rPr>
        <w:t>3. Units and Conventions</w:t>
      </w:r>
    </w:p>
    <w:p>
      <w:pPr>
        <w:pStyle w:val="ListBullet"/>
      </w:pPr>
      <w:r>
        <w:rPr>
          <w:rFonts w:ascii="Times New Roman" w:hAnsi="Times New Roman"/>
          <w:sz w:val="22"/>
        </w:rPr>
        <w:t>Win rates in the Markdown file are percentages (0–100). Win rates in the Lean formalization use permil (0–1000) for exact integer arithmetic.</w:t>
      </w:r>
    </w:p>
    <w:p>
      <w:pPr>
        <w:pStyle w:val="ListBullet"/>
      </w:pPr>
      <w:r>
        <w:rPr>
          <w:rFonts w:ascii="Times New Roman" w:hAnsi="Times New Roman"/>
          <w:sz w:val="22"/>
        </w:rPr>
        <w:t>Meta shares are percentages of total tournament entries.</w:t>
      </w:r>
    </w:p>
    <w:p>
      <w:pPr>
        <w:pStyle w:val="ListBullet"/>
      </w:pPr>
      <w:r>
        <w:rPr>
          <w:rFonts w:ascii="Times New Roman" w:hAnsi="Times New Roman"/>
          <w:sz w:val="22"/>
        </w:rPr>
        <w:t>Ties are counted as 1/3 of a win per Trainer Hill convention.</w:t>
      </w:r>
    </w:p>
    <w:p>
      <w:pPr>
        <w:pStyle w:val="ListBullet"/>
      </w:pPr>
      <w:r>
        <w:rPr>
          <w:rFonts w:ascii="Times New Roman" w:hAnsi="Times New Roman"/>
          <w:sz w:val="22"/>
        </w:rPr>
        <w:t>Nash equilibrium weights are reported as percentages (summing to 100%).</w:t>
      </w:r>
    </w:p>
    <w:p>
      <w:pPr>
        <w:pStyle w:val="ListBullet"/>
      </w:pPr>
      <w:r>
        <w:rPr>
          <w:rFonts w:ascii="Times New Roman" w:hAnsi="Times New Roman"/>
          <w:sz w:val="22"/>
        </w:rPr>
        <w:t>The "Other" category aggregates all archetypes outside the top 14.</w:t>
      </w:r>
    </w:p>
    <w:p>
      <w:pPr>
        <w:pStyle w:val="Heading2"/>
      </w:pPr>
      <w:r>
        <w:rPr>
          <w:rFonts w:ascii="Times New Roman" w:hAnsi="Times New Roman"/>
        </w:rPr>
        <w:t>4. Relationship to the Lean 4 Artifact</w:t>
      </w:r>
    </w:p>
    <w:p>
      <w:r>
        <w:rPr>
          <w:rFonts w:ascii="Times New Roman" w:hAnsi="Times New Roman"/>
          <w:b w:val="0"/>
          <w:sz w:val="22"/>
        </w:rPr>
        <w:t>The empirical data in this dataset are encoded in the Lean 4 proof artifact (available separately) in two canonical representations:</w:t>
      </w:r>
    </w:p>
    <w:p>
      <w:pPr>
        <w:pStyle w:val="ListBullet"/>
      </w:pPr>
      <w:r>
        <w:rPr>
          <w:rFonts w:ascii="Times New Roman" w:hAnsi="Times New Roman"/>
          <w:sz w:val="22"/>
        </w:rPr>
        <w:t>RealMetagame.lean — matchup win rates as a function over the Deck inductive type (permil)</w:t>
      </w:r>
    </w:p>
    <w:p>
      <w:pPr>
        <w:pStyle w:val="ListBullet"/>
      </w:pPr>
      <w:r>
        <w:rPr>
          <w:rFonts w:ascii="Times New Roman" w:hAnsi="Times New Roman"/>
          <w:sz w:val="22"/>
        </w:rPr>
        <w:t>NashEquilibrium.lean — matchup data as an Array (Array Nat) for computational proofs</w:t>
      </w:r>
    </w:p>
    <w:p>
      <w:r>
        <w:rPr>
          <w:rFonts w:ascii="Times New Roman" w:hAnsi="Times New Roman"/>
          <w:b w:val="0"/>
          <w:sz w:val="22"/>
        </w:rPr>
        <w:t>A machine-checked proof (MatrixConsistency.lean) establishes that both representations agree entry-by-entry. All game-theoretic results in the accompanying paper trace to this single empirical source.</w:t>
      </w:r>
    </w:p>
    <w:p>
      <w:pPr>
        <w:pStyle w:val="Heading2"/>
      </w:pPr>
      <w:r>
        <w:rPr>
          <w:rFonts w:ascii="Times New Roman" w:hAnsi="Times New Roman"/>
        </w:rPr>
        <w:t>5. Reproducibility</w:t>
      </w:r>
    </w:p>
    <w:p>
      <w:r>
        <w:rPr>
          <w:rFonts w:ascii="Times New Roman" w:hAnsi="Times New Roman"/>
          <w:b w:val="0"/>
          <w:sz w:val="22"/>
        </w:rPr>
        <w:t>To reproduce the computed results from the raw data:</w:t>
      </w:r>
    </w:p>
    <w:p>
      <w:pPr>
        <w:pStyle w:val="ListBullet"/>
      </w:pPr>
      <w:r>
        <w:rPr>
          <w:rFonts w:ascii="Times New Roman" w:hAnsi="Times New Roman"/>
          <w:sz w:val="22"/>
        </w:rPr>
        <w:t>Nash equilibria: use any linear programming solver (e.g., scipy.optimize.linprog) on the 14×14 matrix</w:t>
      </w:r>
    </w:p>
    <w:p>
      <w:pPr>
        <w:pStyle w:val="ListBullet"/>
      </w:pPr>
      <w:r>
        <w:rPr>
          <w:rFonts w:ascii="Times New Roman" w:hAnsi="Times New Roman"/>
          <w:sz w:val="22"/>
        </w:rPr>
        <w:t>Bootstrap analysis: resample W-L-T counts with replacement, recompute Nash per iteration</w:t>
      </w:r>
    </w:p>
    <w:p>
      <w:pPr>
        <w:pStyle w:val="ListBullet"/>
      </w:pPr>
      <w:r>
        <w:rPr>
          <w:rFonts w:ascii="Times New Roman" w:hAnsi="Times New Roman"/>
          <w:sz w:val="22"/>
        </w:rPr>
        <w:t>Replicator dynamics: apply the standard replicator equation dx_i/dt = x_i(f_i - f̄) with the matchup matrix as payoff</w:t>
      </w:r>
    </w:p>
    <w:p>
      <w:r>
        <w:rPr>
          <w:rFonts w:ascii="Times New Roman" w:hAnsi="Times New Roman"/>
          <w:b w:val="0"/>
          <w:sz w:val="22"/>
        </w:rPr>
        <w:t>Python scripts for all three computations are included in the accompanying code artifact.</w:t>
      </w:r>
    </w:p>
    <w:p>
      <w:pPr>
        <w:pStyle w:val="Heading2"/>
      </w:pPr>
      <w:r>
        <w:rPr>
          <w:rFonts w:ascii="Times New Roman" w:hAnsi="Times New Roman"/>
        </w:rPr>
        <w:t>6. Citation</w:t>
      </w:r>
    </w:p>
    <w:p>
      <w:r>
        <w:rPr>
          <w:rFonts w:ascii="Times New Roman" w:hAnsi="Times New Roman"/>
          <w:b w:val="0"/>
          <w:sz w:val="22"/>
        </w:rPr>
        <w:t>If you use this dataset, please cite:</w:t>
      </w:r>
    </w:p>
    <w:p>
      <w:r>
        <w:rPr>
          <w:rFonts w:ascii="Times New Roman" w:hAnsi="Times New Roman"/>
          <w:b w:val="0"/>
          <w:sz w:val="22"/>
        </w:rPr>
        <w:t>A. F. Ramos and T. Soria, "From Rules to Nash Equilibria: Formally Verified Game-Theoretic Analysis of a Competitive Trading Card Game," submitted to IEEE Transactions on Games,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