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Times New Roman" w:hAnsi="Times New Roman"/>
          <w:b/>
          <w:sz w:val="32"/>
        </w:rPr>
        <w:t>From Rules to Nash Equilibria: Formally Verified</w:t>
        <w:br/>
        <w:t>Game-Theoretic Analysis of a Competitive</w:t>
        <w:br/>
        <w:t>Trading Card Game</w:t>
      </w:r>
    </w:p>
    <w:p>
      <w:pPr>
        <w:spacing w:after="240"/>
        <w:jc w:val="center"/>
      </w:pPr>
      <w:r>
        <w:rPr>
          <w:rFonts w:ascii="Times New Roman" w:hAnsi="Times New Roman"/>
          <w:sz w:val="26"/>
        </w:rPr>
        <w:t>Arthur F. Ramos</w:t>
      </w:r>
      <w:r>
        <w:rPr>
          <w:sz w:val="26"/>
        </w:rPr>
        <w:br/>
      </w:r>
      <w:r>
        <w:rPr>
          <w:rFonts w:ascii="Times New Roman" w:hAnsi="Times New Roman"/>
          <w:sz w:val="24"/>
        </w:rPr>
        <w:t>Microsoft, Redmond, WA, USA</w:t>
      </w:r>
    </w:p>
    <w:p>
      <w:pPr>
        <w:spacing w:after="480"/>
        <w:jc w:val="center"/>
      </w:pPr>
      <w:r>
        <w:rPr>
          <w:rFonts w:ascii="Times New Roman" w:hAnsi="Times New Roman"/>
          <w:sz w:val="26"/>
        </w:rPr>
        <w:t>Tulio Soria</w:t>
      </w:r>
      <w:r>
        <w:rPr>
          <w:sz w:val="26"/>
        </w:rPr>
        <w:br/>
      </w:r>
      <w:r>
        <w:rPr>
          <w:rFonts w:ascii="Times New Roman" w:hAnsi="Times New Roman"/>
          <w:sz w:val="24"/>
        </w:rPr>
        <w:t>Independent Researcher</w:t>
      </w:r>
    </w:p>
    <w:p>
      <w:pPr>
        <w:spacing w:after="120"/>
        <w:jc w:val="center"/>
      </w:pPr>
      <w:r>
        <w:rPr>
          <w:rFonts w:ascii="Times New Roman" w:hAnsi="Times New Roman"/>
          <w:b/>
          <w:sz w:val="24"/>
        </w:rPr>
        <w:t>Corresponding Author:</w:t>
      </w:r>
    </w:p>
    <w:p>
      <w:pPr>
        <w:spacing w:after="240"/>
        <w:jc w:val="center"/>
      </w:pPr>
      <w:r>
        <w:rPr>
          <w:rFonts w:ascii="Times New Roman" w:hAnsi="Times New Roman"/>
          <w:sz w:val="24"/>
        </w:rPr>
        <w:t>Arthur F. Ramos</w:t>
        <w:br/>
        <w:t>Microsoft</w:t>
        <w:br/>
        <w:t>Redmond, WA, USA</w:t>
        <w:br/>
        <w:t>10158 Glenmore Ave, Bradenton, FL 34202</w:t>
        <w:br/>
        <w:t>Email: arfreita@microsoft.com</w:t>
      </w:r>
    </w:p>
    <w:p>
      <w:pPr>
        <w:spacing w:after="480"/>
        <w:jc w:val="center"/>
      </w:pPr>
      <w:r>
        <w:rPr>
          <w:rFonts w:ascii="Times New Roman" w:hAnsi="Times New Roman"/>
          <w:sz w:val="24"/>
        </w:rPr>
        <w:t>Tulio Soria</w:t>
        <w:br/>
        <w:t>Email: tulio.soria@gmail.com</w:t>
      </w:r>
    </w:p>
    <w:p>
      <w:pPr>
        <w:spacing w:after="120"/>
        <w:jc w:val="center"/>
      </w:pPr>
      <w:r>
        <w:rPr>
          <w:rFonts w:ascii="Times New Roman" w:hAnsi="Times New Roman"/>
          <w:b/>
          <w:sz w:val="24"/>
        </w:rPr>
        <w:t>Acknowledgments</w:t>
      </w:r>
    </w:p>
    <w:p>
      <w:pPr>
        <w:jc w:val="center"/>
      </w:pPr>
      <w:r>
        <w:rPr>
          <w:rFonts w:ascii="Times New Roman" w:hAnsi="Times New Roman"/>
          <w:sz w:val="24"/>
        </w:rPr>
        <w:t>The authors thank the Pokémon TCG competitive community and the Trainer Hill platform for providing the tournament data used in this study. All formal verification was conducted using Lean 4. The authors declare no conflicts of interest.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