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CenturyGothic-bold.ttf" ContentType="application/x-font-ttf"/>
  <Override PartName="/word/fonts/CenturyGothic-boldItalic.ttf" ContentType="application/x-font-ttf"/>
  <Override PartName="/word/fonts/CenturyGothic-italic.ttf" ContentType="application/x-font-ttf"/>
  <Override PartName="/word/fonts/CenturyGothic-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OpenSans-bold.ttf" ContentType="application/x-font-ttf"/>
  <Override PartName="/word/fonts/OpenSans-boldItalic.ttf" ContentType="application/x-font-ttf"/>
  <Override PartName="/word/fonts/OpenSans-italic.ttf" ContentType="application/x-font-ttf"/>
  <Override PartName="/word/fonts/OpenSans-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888888"/>
          <w:sz w:val="48"/>
          <w:szCs w:val="48"/>
        </w:rPr>
      </w:pPr>
      <w:r w:rsidDel="00000000" w:rsidR="00000000" w:rsidRPr="00000000">
        <w:rPr>
          <w:rtl w:val="0"/>
        </w:rPr>
      </w:r>
    </w:p>
    <w:p w:rsidR="00000000" w:rsidDel="00000000" w:rsidP="00000000" w:rsidRDefault="00000000" w:rsidRPr="00000000" w14:paraId="00000002">
      <w:pPr>
        <w:jc w:val="center"/>
        <w:rPr>
          <w:b w:val="1"/>
          <w:color w:val="888888"/>
          <w:sz w:val="48"/>
          <w:szCs w:val="48"/>
        </w:rPr>
      </w:pPr>
      <w:r w:rsidDel="00000000" w:rsidR="00000000" w:rsidRPr="00000000">
        <w:rPr>
          <w:rtl w:val="0"/>
        </w:rPr>
      </w:r>
    </w:p>
    <w:p w:rsidR="00000000" w:rsidDel="00000000" w:rsidP="00000000" w:rsidRDefault="00000000" w:rsidRPr="00000000" w14:paraId="00000003">
      <w:pPr>
        <w:jc w:val="center"/>
        <w:rPr>
          <w:rFonts w:ascii="Century Gothic" w:cs="Century Gothic" w:eastAsia="Century Gothic" w:hAnsi="Century Gothic"/>
          <w:color w:val="000000"/>
          <w:sz w:val="30"/>
          <w:szCs w:val="30"/>
        </w:rPr>
      </w:pPr>
      <w:r w:rsidDel="00000000" w:rsidR="00000000" w:rsidRPr="00000000">
        <w:rPr>
          <w:rFonts w:ascii="Century Gothic" w:cs="Century Gothic" w:eastAsia="Century Gothic" w:hAnsi="Century Gothic"/>
          <w:b w:val="1"/>
          <w:color w:val="888888"/>
          <w:sz w:val="48"/>
          <w:szCs w:val="48"/>
          <w:rtl w:val="0"/>
        </w:rPr>
        <w:t xml:space="preserve">David</w:t>
      </w:r>
      <w:r w:rsidDel="00000000" w:rsidR="00000000" w:rsidRPr="00000000">
        <w:rPr>
          <w:rtl w:val="0"/>
        </w:rPr>
      </w:r>
    </w:p>
    <w:p w:rsidR="00000000" w:rsidDel="00000000" w:rsidP="00000000" w:rsidRDefault="00000000" w:rsidRPr="00000000" w14:paraId="00000004">
      <w:pPr>
        <w:tabs>
          <w:tab w:val="left" w:leader="none" w:pos="8720"/>
        </w:tabs>
        <w:jc w:val="center"/>
        <w:rPr>
          <w:rFonts w:ascii="Century Gothic" w:cs="Century Gothic" w:eastAsia="Century Gothic" w:hAnsi="Century Gothic"/>
          <w:color w:val="2d68b4"/>
          <w:sz w:val="30"/>
          <w:szCs w:val="30"/>
        </w:rPr>
      </w:pPr>
      <w:bookmarkStart w:colFirst="0" w:colLast="0" w:name="_heading=h.gjdgxs" w:id="0"/>
      <w:bookmarkEnd w:id="0"/>
      <w:r w:rsidDel="00000000" w:rsidR="00000000" w:rsidRPr="00000000">
        <w:rPr>
          <w:rFonts w:ascii="Century Gothic" w:cs="Century Gothic" w:eastAsia="Century Gothic" w:hAnsi="Century Gothic"/>
          <w:color w:val="2d68b4"/>
          <w:sz w:val="30"/>
          <w:szCs w:val="30"/>
          <w:rtl w:val="0"/>
        </w:rPr>
        <w:t xml:space="preserve">Manager Consultant en Technology IT &amp; Digital Transformation</w:t>
      </w:r>
    </w:p>
    <w:p w:rsidR="00000000" w:rsidDel="00000000" w:rsidP="00000000" w:rsidRDefault="00000000" w:rsidRPr="00000000" w14:paraId="00000005">
      <w:pPr>
        <w:tabs>
          <w:tab w:val="left" w:leader="none" w:pos="8720"/>
        </w:tabs>
        <w:jc w:val="center"/>
        <w:rPr>
          <w:rFonts w:ascii="Century Gothic" w:cs="Century Gothic" w:eastAsia="Century Gothic" w:hAnsi="Century Gothic"/>
          <w:color w:val="888888"/>
          <w:sz w:val="24"/>
          <w:szCs w:val="24"/>
        </w:rPr>
      </w:pPr>
      <w:bookmarkStart w:colFirst="0" w:colLast="0" w:name="_heading=h.30j0zll" w:id="1"/>
      <w:bookmarkEnd w:id="1"/>
      <w:r w:rsidDel="00000000" w:rsidR="00000000" w:rsidRPr="00000000">
        <w:rPr>
          <w:rFonts w:ascii="Century Gothic" w:cs="Century Gothic" w:eastAsia="Century Gothic" w:hAnsi="Century Gothic"/>
          <w:color w:val="888888"/>
          <w:sz w:val="24"/>
          <w:szCs w:val="24"/>
          <w:rtl w:val="0"/>
        </w:rPr>
        <w:t xml:space="preserve">10 ans d'expérience</w:t>
      </w:r>
    </w:p>
    <w:p w:rsidR="00000000" w:rsidDel="00000000" w:rsidP="00000000" w:rsidRDefault="00000000" w:rsidRPr="00000000" w14:paraId="00000006">
      <w:pPr>
        <w:tabs>
          <w:tab w:val="left" w:leader="none" w:pos="8720"/>
        </w:tabs>
        <w:rPr>
          <w:color w:val="888888"/>
          <w:sz w:val="30"/>
          <w:szCs w:val="3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rPr>
          <w:color w:val="888888"/>
          <w:sz w:val="30"/>
          <w:szCs w:val="30"/>
        </w:rPr>
      </w:pPr>
      <w:r w:rsidDel="00000000" w:rsidR="00000000" w:rsidRPr="00000000">
        <w:rPr>
          <w:rtl w:val="0"/>
        </w:rPr>
      </w:r>
    </w:p>
    <w:p w:rsidR="00000000" w:rsidDel="00000000" w:rsidP="00000000" w:rsidRDefault="00000000" w:rsidRPr="00000000" w14:paraId="00000008">
      <w:pPr>
        <w:tabs>
          <w:tab w:val="left" w:leader="none" w:pos="2552"/>
        </w:tabs>
        <w:rPr>
          <w:rFonts w:ascii="Century Gothic" w:cs="Century Gothic" w:eastAsia="Century Gothic" w:hAnsi="Century Gothic"/>
          <w:i w:val="1"/>
          <w:color w:val="000000"/>
          <w:sz w:val="10"/>
          <w:szCs w:val="10"/>
        </w:rPr>
      </w:pPr>
      <w:r w:rsidDel="00000000" w:rsidR="00000000" w:rsidRPr="00000000">
        <w:rPr>
          <w:rtl w:val="0"/>
        </w:rPr>
      </w:r>
    </w:p>
    <w:tbl>
      <w:tblPr>
        <w:tblStyle w:val="Table1"/>
        <w:tblpPr w:leftFromText="180" w:rightFromText="180" w:topFromText="180" w:bottomFromText="180" w:vertAnchor="text" w:horzAnchor="text" w:tblpX="980.9999999999997" w:tblpY="0"/>
        <w:tblW w:w="8085.0" w:type="dxa"/>
        <w:jc w:val="left"/>
        <w:tblInd w:w="1206.0" w:type="dxa"/>
        <w:tblLayout w:type="fixed"/>
        <w:tblLook w:val="0000"/>
      </w:tblPr>
      <w:tblGrid>
        <w:gridCol w:w="7905"/>
        <w:gridCol w:w="180"/>
        <w:tblGridChange w:id="0">
          <w:tblGrid>
            <w:gridCol w:w="7905"/>
            <w:gridCol w:w="180"/>
          </w:tblGrid>
        </w:tblGridChange>
      </w:tblGrid>
      <w:tr>
        <w:trPr>
          <w:cantSplit w:val="0"/>
          <w:trHeight w:val="584" w:hRule="atLeast"/>
          <w:tblHeader w:val="0"/>
        </w:trPr>
        <w:tc>
          <w:tcPr/>
          <w:p w:rsidR="00000000" w:rsidDel="00000000" w:rsidP="00000000" w:rsidRDefault="00000000" w:rsidRPr="00000000" w14:paraId="00000009">
            <w:pPr>
              <w:keepNext w:val="1"/>
              <w:pBdr>
                <w:bottom w:color="4f81bd" w:space="1" w:sz="8" w:val="single"/>
                <w:right w:color="bebfbe" w:space="4" w:sz="4" w:val="single"/>
              </w:pBdr>
              <w:shd w:fill="ffffff" w:val="clear"/>
              <w:tabs>
                <w:tab w:val="left" w:leader="none" w:pos="0"/>
              </w:tabs>
              <w:spacing w:after="0" w:lineRule="auto"/>
              <w:ind w:right="-383.7401574803147"/>
              <w:jc w:val="center"/>
              <w:rPr>
                <w:rFonts w:ascii="Open Sans" w:cs="Open Sans" w:eastAsia="Open Sans" w:hAnsi="Open Sans"/>
                <w:smallCaps w:val="1"/>
                <w:color w:val="3a7ec2"/>
                <w:sz w:val="24"/>
                <w:szCs w:val="24"/>
              </w:rPr>
            </w:pPr>
            <w:r w:rsidDel="00000000" w:rsidR="00000000" w:rsidRPr="00000000">
              <w:rPr>
                <w:rFonts w:ascii="Open Sans" w:cs="Open Sans" w:eastAsia="Open Sans" w:hAnsi="Open Sans"/>
                <w:b w:val="1"/>
                <w:smallCaps w:val="1"/>
                <w:color w:val="3a7ec2"/>
                <w:sz w:val="30"/>
                <w:szCs w:val="30"/>
                <w:rtl w:val="0"/>
              </w:rPr>
              <w:t xml:space="preserve">Principaux Projets</w:t>
            </w:r>
            <w:r w:rsidDel="00000000" w:rsidR="00000000" w:rsidRPr="00000000">
              <w:rPr>
                <w:rtl w:val="0"/>
              </w:rPr>
            </w:r>
          </w:p>
          <w:p w:rsidR="00000000" w:rsidDel="00000000" w:rsidP="00000000" w:rsidRDefault="00000000" w:rsidRPr="00000000" w14:paraId="0000000A">
            <w:pPr>
              <w:tabs>
                <w:tab w:val="left" w:leader="none" w:pos="840"/>
              </w:tabs>
              <w:spacing w:after="0" w:line="274" w:lineRule="auto"/>
              <w:ind w:right="-383.7401574803147"/>
              <w:rPr>
                <w:rFonts w:ascii="Century Gothic" w:cs="Century Gothic" w:eastAsia="Century Gothic" w:hAnsi="Century Gothic"/>
                <w:color w:val="1c5dac"/>
              </w:rPr>
            </w:pPr>
            <w:r w:rsidDel="00000000" w:rsidR="00000000" w:rsidRPr="00000000">
              <w:rPr>
                <w:rtl w:val="0"/>
              </w:rPr>
            </w:r>
          </w:p>
        </w:tc>
        <w:tc>
          <w:tcPr/>
          <w:p w:rsidR="00000000" w:rsidDel="00000000" w:rsidP="00000000" w:rsidRDefault="00000000" w:rsidRPr="00000000" w14:paraId="0000000B">
            <w:pPr>
              <w:keepNext w:val="1"/>
              <w:pBdr>
                <w:left w:color="bebfbe" w:space="4" w:sz="4" w:val="single"/>
                <w:bottom w:color="4f81bd" w:space="1" w:sz="8" w:val="single"/>
              </w:pBdr>
              <w:shd w:fill="ffffff" w:val="clear"/>
              <w:tabs>
                <w:tab w:val="left" w:leader="none" w:pos="0"/>
              </w:tabs>
              <w:spacing w:after="0" w:lineRule="auto"/>
              <w:ind w:right="-383.7401574803147"/>
              <w:jc w:val="left"/>
              <w:rPr>
                <w:rFonts w:ascii="Open Sans" w:cs="Open Sans" w:eastAsia="Open Sans" w:hAnsi="Open Sans"/>
                <w:smallCaps w:val="1"/>
                <w:color w:val="3a7ec2"/>
                <w:sz w:val="24"/>
                <w:szCs w:val="24"/>
              </w:rPr>
            </w:pPr>
            <w:r w:rsidDel="00000000" w:rsidR="00000000" w:rsidRPr="00000000">
              <w:rPr>
                <w:rtl w:val="0"/>
              </w:rPr>
            </w:r>
          </w:p>
          <w:p w:rsidR="00000000" w:rsidDel="00000000" w:rsidP="00000000" w:rsidRDefault="00000000" w:rsidRPr="00000000" w14:paraId="0000000C">
            <w:pPr>
              <w:spacing w:after="0" w:lineRule="auto"/>
              <w:ind w:right="-383.7401574803147"/>
              <w:rPr>
                <w:rFonts w:ascii="Century Gothic" w:cs="Century Gothic" w:eastAsia="Century Gothic" w:hAnsi="Century Gothic"/>
                <w:color w:val="000000"/>
              </w:rPr>
            </w:pPr>
            <w:r w:rsidDel="00000000" w:rsidR="00000000" w:rsidRPr="00000000">
              <w:rPr>
                <w:rtl w:val="0"/>
              </w:rPr>
            </w:r>
          </w:p>
        </w:tc>
      </w:tr>
      <w:tr>
        <w:trPr>
          <w:cantSplit w:val="0"/>
          <w:trHeight w:val="354" w:hRule="atLeast"/>
          <w:tblHeader w:val="0"/>
        </w:trPr>
        <w:tc>
          <w:tcPr>
            <w:tcBorders>
              <w:right w:color="bebfbe" w:space="0" w:sz="4" w:val="single"/>
            </w:tcBorders>
          </w:tcPr>
          <w:p w:rsidR="00000000" w:rsidDel="00000000" w:rsidP="00000000" w:rsidRDefault="00000000" w:rsidRPr="00000000" w14:paraId="0000000D">
            <w:pPr>
              <w:tabs>
                <w:tab w:val="left" w:leader="none" w:pos="840"/>
              </w:tabs>
              <w:spacing w:after="0" w:line="274"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KPMG</w:t>
              <w:br/>
              <w:t xml:space="preserve">- Blablacar</w:t>
              <w:br/>
              <w:t xml:space="preserve">- AFD (Agence Française de Développement) &amp; Proparco (filiale AFD dédiée au secteur privé)</w:t>
            </w:r>
          </w:p>
        </w:tc>
        <w:tc>
          <w:tcPr>
            <w:tcBorders>
              <w:left w:color="bebfbe" w:space="0" w:sz="4" w:val="single"/>
            </w:tcBorders>
          </w:tcPr>
          <w:p w:rsidR="00000000" w:rsidDel="00000000" w:rsidP="00000000" w:rsidRDefault="00000000" w:rsidRPr="00000000" w14:paraId="0000000E">
            <w:pPr>
              <w:spacing w:after="0" w:lineRule="auto"/>
              <w:jc w:val="left"/>
              <w:rPr>
                <w:rFonts w:ascii="Century Gothic" w:cs="Century Gothic" w:eastAsia="Century Gothic" w:hAnsi="Century Gothic"/>
                <w:b w:val="1"/>
                <w:color w:val="000000"/>
              </w:rPr>
            </w:pPr>
            <w:r w:rsidDel="00000000" w:rsidR="00000000" w:rsidRPr="00000000">
              <w:rPr>
                <w:rtl w:val="0"/>
              </w:rPr>
            </w:r>
          </w:p>
          <w:p w:rsidR="00000000" w:rsidDel="00000000" w:rsidP="00000000" w:rsidRDefault="00000000" w:rsidRPr="00000000" w14:paraId="0000000F">
            <w:pPr>
              <w:spacing w:after="0" w:lineRule="auto"/>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010">
            <w:pPr>
              <w:spacing w:after="0" w:lineRule="auto"/>
              <w:rPr>
                <w:rFonts w:ascii="Century Gothic" w:cs="Century Gothic" w:eastAsia="Century Gothic" w:hAnsi="Century Gothic"/>
                <w:color w:val="000000"/>
              </w:rPr>
            </w:pPr>
            <w:r w:rsidDel="00000000" w:rsidR="00000000" w:rsidRPr="00000000">
              <w:rPr>
                <w:rtl w:val="0"/>
              </w:rPr>
            </w:r>
          </w:p>
        </w:tc>
      </w:tr>
    </w:tbl>
    <w:p w:rsidR="00000000" w:rsidDel="00000000" w:rsidP="00000000" w:rsidRDefault="00000000" w:rsidRPr="00000000" w14:paraId="00000011">
      <w:pPr>
        <w:tabs>
          <w:tab w:val="left" w:leader="none" w:pos="2552"/>
        </w:tabs>
        <w:rPr>
          <w:rFonts w:ascii="Century Gothic" w:cs="Century Gothic" w:eastAsia="Century Gothic" w:hAnsi="Century Gothic"/>
          <w:i w:val="1"/>
          <w:color w:val="000000"/>
          <w:sz w:val="10"/>
          <w:szCs w:val="10"/>
        </w:rPr>
      </w:pPr>
      <w:r w:rsidDel="00000000" w:rsidR="00000000" w:rsidRPr="00000000">
        <w:rPr>
          <w:rtl w:val="0"/>
        </w:rPr>
      </w:r>
    </w:p>
    <w:p w:rsidR="00000000" w:rsidDel="00000000" w:rsidP="00000000" w:rsidRDefault="00000000" w:rsidRPr="00000000" w14:paraId="00000012">
      <w:pPr>
        <w:pBdr>
          <w:bottom w:color="457cbf" w:space="1" w:sz="12" w:val="dashed"/>
        </w:pBdr>
        <w:shd w:fill="ffffff" w:val="clear"/>
        <w:tabs>
          <w:tab w:val="left" w:leader="none" w:pos="8720"/>
        </w:tabs>
        <w:spacing w:after="240" w:before="240" w:lineRule="auto"/>
        <w:ind w:right="141"/>
        <w:rPr>
          <w:b w:val="1"/>
          <w:color w:val="888888"/>
          <w:sz w:val="26"/>
          <w:szCs w:val="26"/>
        </w:rPr>
      </w:pPr>
      <w:r w:rsidDel="00000000" w:rsidR="00000000" w:rsidRPr="00000000">
        <w:rPr>
          <w:rtl w:val="0"/>
        </w:rPr>
      </w:r>
    </w:p>
    <w:p w:rsidR="00000000" w:rsidDel="00000000" w:rsidP="00000000" w:rsidRDefault="00000000" w:rsidRPr="00000000" w14:paraId="00000013">
      <w:pPr>
        <w:pBdr>
          <w:bottom w:color="457cbf" w:space="1" w:sz="12" w:val="dashed"/>
        </w:pBdr>
        <w:shd w:fill="ffffff" w:val="clear"/>
        <w:tabs>
          <w:tab w:val="left" w:leader="none" w:pos="8720"/>
        </w:tabs>
        <w:spacing w:after="240" w:before="240" w:lineRule="auto"/>
        <w:ind w:right="141"/>
        <w:rPr>
          <w:b w:val="1"/>
          <w:color w:val="888888"/>
          <w:sz w:val="26"/>
          <w:szCs w:val="26"/>
        </w:rPr>
      </w:pPr>
      <w:r w:rsidDel="00000000" w:rsidR="00000000" w:rsidRPr="00000000">
        <w:rPr>
          <w:rtl w:val="0"/>
        </w:rPr>
      </w:r>
    </w:p>
    <w:p w:rsidR="00000000" w:rsidDel="00000000" w:rsidP="00000000" w:rsidRDefault="00000000" w:rsidRPr="00000000" w14:paraId="00000014">
      <w:pPr>
        <w:pBdr>
          <w:bottom w:color="457cbf" w:space="1" w:sz="12" w:val="dashed"/>
        </w:pBdr>
        <w:shd w:fill="ffffff" w:val="clear"/>
        <w:tabs>
          <w:tab w:val="left" w:leader="none" w:pos="8720"/>
        </w:tabs>
        <w:spacing w:after="240" w:before="240" w:lineRule="auto"/>
        <w:ind w:right="141"/>
        <w:rPr>
          <w:b w:val="1"/>
          <w:color w:val="888888"/>
          <w:sz w:val="26"/>
          <w:szCs w:val="26"/>
        </w:rPr>
      </w:pPr>
      <w:r w:rsidDel="00000000" w:rsidR="00000000" w:rsidRPr="00000000">
        <w:rPr>
          <w:rtl w:val="0"/>
        </w:rPr>
      </w:r>
    </w:p>
    <w:p w:rsidR="00000000" w:rsidDel="00000000" w:rsidP="00000000" w:rsidRDefault="00000000" w:rsidRPr="00000000" w14:paraId="00000015">
      <w:pPr>
        <w:pBdr>
          <w:bottom w:color="457cbf" w:space="1" w:sz="12" w:val="dashed"/>
        </w:pBdr>
        <w:shd w:fill="ffffff" w:val="clear"/>
        <w:tabs>
          <w:tab w:val="left" w:leader="none" w:pos="8720"/>
        </w:tabs>
        <w:spacing w:after="240" w:before="240" w:lineRule="auto"/>
        <w:ind w:right="141"/>
        <w:rPr>
          <w:b w:val="1"/>
          <w:sz w:val="26"/>
          <w:szCs w:val="26"/>
        </w:rPr>
      </w:pPr>
      <w:r w:rsidDel="00000000" w:rsidR="00000000" w:rsidRPr="00000000">
        <w:rPr>
          <w:rFonts w:ascii="Open Sans" w:cs="Open Sans" w:eastAsia="Open Sans" w:hAnsi="Open Sans"/>
          <w:b w:val="1"/>
          <w:smallCaps w:val="1"/>
          <w:color w:val="3a7ec2"/>
          <w:sz w:val="30"/>
          <w:szCs w:val="30"/>
          <w:rtl w:val="0"/>
        </w:rPr>
        <w:t xml:space="preserve">Expertise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-276222</wp:posOffset>
            </wp:positionH>
            <wp:positionV relativeFrom="paragraph">
              <wp:posOffset>9525</wp:posOffset>
            </wp:positionV>
            <wp:extent cx="183515" cy="190500"/>
            <wp:effectExtent b="0" l="0" r="0" t="0"/>
            <wp:wrapSquare wrapText="bothSides" distB="0" distT="0" distL="114300" distR="114300"/>
            <wp:docPr descr="20-gear2.png" id="1001" name="image1.png"/>
            <a:graphic>
              <a:graphicData uri="http://schemas.openxmlformats.org/drawingml/2006/picture">
                <pic:pic>
                  <pic:nvPicPr>
                    <pic:cNvPr descr="20-gear2.png" id="0" name="image1.png"/>
                    <pic:cNvPicPr preferRelativeResize="0"/>
                  </pic:nvPicPr>
                  <pic:blipFill>
                    <a:blip r:embed="rId7"/>
                    <a:srcRect b="0" l="0" r="0" t="0"/>
                    <a:stretch>
                      <a:fillRect/>
                    </a:stretch>
                  </pic:blipFill>
                  <pic:spPr>
                    <a:xfrm>
                      <a:off x="0" y="0"/>
                      <a:ext cx="183515" cy="190500"/>
                    </a:xfrm>
                    <a:prstGeom prst="rect"/>
                    <a:ln/>
                  </pic:spPr>
                </pic:pic>
              </a:graphicData>
            </a:graphic>
          </wp:anchor>
        </w:drawing>
      </w:r>
    </w:p>
    <w:p w:rsidR="00000000" w:rsidDel="00000000" w:rsidP="00000000" w:rsidRDefault="00000000" w:rsidRPr="00000000" w14:paraId="00000016">
      <w:pPr>
        <w:widowControl w:val="0"/>
        <w:spacing w:before="72" w:line="276" w:lineRule="auto"/>
        <w:ind w:left="0" w:right="283" w:firstLine="0"/>
        <w:jc w:val="both"/>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2d68b4"/>
          <w:sz w:val="21"/>
          <w:szCs w:val="21"/>
          <w:rtl w:val="0"/>
        </w:rPr>
        <w:t xml:space="preserve">Compétences techniques : </w:t>
      </w:r>
      <w:r w:rsidDel="00000000" w:rsidR="00000000" w:rsidRPr="00000000">
        <w:rPr>
          <w:rtl w:val="0"/>
        </w:rPr>
      </w:r>
    </w:p>
    <w:p w:rsidR="00000000" w:rsidDel="00000000" w:rsidP="00000000" w:rsidRDefault="00000000" w:rsidRPr="00000000" w14:paraId="00000017">
      <w:pPr>
        <w:widowControl w:val="0"/>
        <w:spacing w:after="0" w:before="72" w:line="276" w:lineRule="auto"/>
        <w:ind w:left="0" w:right="283" w:firstLine="0"/>
        <w:jc w:val="both"/>
        <w:rPr>
          <w:rFonts w:ascii="Century Gothic" w:cs="Century Gothic" w:eastAsia="Century Gothic" w:hAnsi="Century Gothic"/>
          <w:color w:val="000000"/>
          <w:u w:val="none"/>
        </w:rPr>
      </w:pPr>
      <w:r w:rsidDel="00000000" w:rsidR="00000000" w:rsidRPr="00000000">
        <w:rPr>
          <w:rFonts w:ascii="Century Gothic" w:cs="Century Gothic" w:eastAsia="Century Gothic" w:hAnsi="Century Gothic"/>
          <w:color w:val="000000"/>
          <w:rtl w:val="0"/>
        </w:rPr>
        <w:t xml:space="preserve">- Outils bureautiques : MS Pack Office, Google Drive</w:t>
        <w:br/>
        <w:t xml:space="preserve">- Outils collaboratifs : Slack, Confluence, Miro, Teams, JIRA</w:t>
        <w:br/>
        <w:t xml:space="preserve">- Outils métiers : Archer GRC, ServiceNow, DataGalaxy, Collibra, Bubble Platform, Suites Adobe, Salesforce</w:t>
        <w:br/>
        <w:t xml:space="preserve">- Langages : VBA/Excel, SQL, Java, C#, C++, C, HTML/Javascript/PHP, Wordpress, Joomla, Meteor, Phalcon, ZendFramework, Symfony 2, CakePHP</w:t>
      </w:r>
      <w:r w:rsidDel="00000000" w:rsidR="00000000" w:rsidRPr="00000000">
        <w:rPr>
          <w:rtl w:val="0"/>
        </w:rPr>
      </w:r>
    </w:p>
    <w:p w:rsidR="00000000" w:rsidDel="00000000" w:rsidP="00000000" w:rsidRDefault="00000000" w:rsidRPr="00000000" w14:paraId="00000018">
      <w:pPr>
        <w:widowControl w:val="0"/>
        <w:spacing w:after="0" w:before="0" w:line="240" w:lineRule="auto"/>
        <w:ind w:left="0" w:right="283" w:firstLine="0"/>
        <w:jc w:val="both"/>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019">
      <w:pPr>
        <w:widowControl w:val="0"/>
        <w:spacing w:before="72" w:line="276" w:lineRule="auto"/>
        <w:ind w:right="283"/>
        <w:jc w:val="both"/>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2d68b4"/>
          <w:sz w:val="21"/>
          <w:szCs w:val="21"/>
          <w:rtl w:val="0"/>
        </w:rPr>
        <w:t xml:space="preserve">Compétences fonctionnelles :</w:t>
      </w:r>
      <w:r w:rsidDel="00000000" w:rsidR="00000000" w:rsidRPr="00000000">
        <w:rPr>
          <w:rtl w:val="0"/>
        </w:rPr>
      </w:r>
    </w:p>
    <w:p w:rsidR="00000000" w:rsidDel="00000000" w:rsidP="00000000" w:rsidRDefault="00000000" w:rsidRPr="00000000" w14:paraId="0000001A">
      <w:pPr>
        <w:widowControl w:val="0"/>
        <w:spacing w:after="0" w:before="0" w:line="240" w:lineRule="auto"/>
        <w:ind w:left="0" w:right="283" w:firstLine="0"/>
        <w:jc w:val="both"/>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01B">
      <w:pPr>
        <w:widowControl w:val="0"/>
        <w:spacing w:before="0" w:line="276" w:lineRule="auto"/>
        <w:ind w:left="0" w:right="283" w:firstLine="0"/>
        <w:jc w:val="both"/>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Gestion de projet et conduite du changement</w:t>
        <w:br/>
        <w:t xml:space="preserve">- Développement stratégique et organisationnel</w:t>
        <w:br/>
        <w:t xml:space="preserve">- Gestion de la gouvernance des données</w:t>
        <w:br/>
        <w:t xml:space="preserve">- Maîtrise des méthodologies Agile et ITIL</w:t>
        <w:br/>
        <w:t xml:space="preserve">- Capacités d'analyse et de benchmarking</w:t>
      </w:r>
    </w:p>
    <w:p w:rsidR="00000000" w:rsidDel="00000000" w:rsidP="00000000" w:rsidRDefault="00000000" w:rsidRPr="00000000" w14:paraId="0000001C">
      <w:pPr>
        <w:pBdr>
          <w:bottom w:color="457cbf" w:space="1" w:sz="12" w:val="dashed"/>
        </w:pBdr>
        <w:shd w:fill="ffffff" w:val="clear"/>
        <w:tabs>
          <w:tab w:val="left" w:leader="none" w:pos="8720"/>
        </w:tabs>
        <w:spacing w:after="240" w:before="240" w:lineRule="auto"/>
        <w:ind w:right="141"/>
        <w:rPr/>
      </w:pPr>
      <w:r w:rsidDel="00000000" w:rsidR="00000000" w:rsidRPr="00000000">
        <w:rPr>
          <w:rFonts w:ascii="Open Sans" w:cs="Open Sans" w:eastAsia="Open Sans" w:hAnsi="Open Sans"/>
          <w:b w:val="1"/>
          <w:smallCaps w:val="1"/>
          <w:color w:val="3a7ec2"/>
          <w:sz w:val="30"/>
          <w:szCs w:val="30"/>
          <w:rtl w:val="0"/>
        </w:rPr>
        <w:t xml:space="preserve">Formation &amp; Certification</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-304796</wp:posOffset>
            </wp:positionH>
            <wp:positionV relativeFrom="paragraph">
              <wp:posOffset>180975</wp:posOffset>
            </wp:positionV>
            <wp:extent cx="238760" cy="179070"/>
            <wp:effectExtent b="0" l="0" r="0" t="0"/>
            <wp:wrapSquare wrapText="bothSides" distB="0" distT="0" distL="114300" distR="114300"/>
            <wp:docPr descr="http://www.google.fr/url?source=imglanding&amp;ct=img&amp;q=http://salsabor.fr/salsaborv2/wp-content/uploads/2014/06/icone-graduation-salsabor-300x205.png&amp;sa=X&amp;ved=0CAkQ8wdqFQoTCMu-44yNhcYCFcE4FAod7iEAGA&amp;usg=AFQjCNG_ps5mjvNBQLKJp7xpMEkDFJnfrw" id="1002" name="image2.png"/>
            <a:graphic>
              <a:graphicData uri="http://schemas.openxmlformats.org/drawingml/2006/picture">
                <pic:pic>
                  <pic:nvPicPr>
                    <pic:cNvPr descr="http://www.google.fr/url?source=imglanding&amp;ct=img&amp;q=http://salsabor.fr/salsaborv2/wp-content/uploads/2014/06/icone-graduation-salsabor-300x205.png&amp;sa=X&amp;ved=0CAkQ8wdqFQoTCMu-44yNhcYCFcE4FAod7iEAGA&amp;usg=AFQjCNG_ps5mjvNBQLKJp7xpMEkDFJnfrw" id="0" name="image2.png"/>
                    <pic:cNvPicPr preferRelativeResize="0"/>
                  </pic:nvPicPr>
                  <pic:blipFill>
                    <a:blip r:embed="rId8"/>
                    <a:srcRect b="0" l="9224" r="-1" t="0"/>
                    <a:stretch>
                      <a:fillRect/>
                    </a:stretch>
                  </pic:blipFill>
                  <pic:spPr>
                    <a:xfrm>
                      <a:off x="0" y="0"/>
                      <a:ext cx="238760" cy="179070"/>
                    </a:xfrm>
                    <a:prstGeom prst="rect"/>
                    <a:ln/>
                  </pic:spPr>
                </pic:pic>
              </a:graphicData>
            </a:graphic>
          </wp:anchor>
        </w:drawing>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283"/>
        <w:jc w:val="both"/>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- 2022 : Certification Data Governance Lead | Collibra</w:t>
        <w:br/>
        <w:t xml:space="preserve">- 2018 : Programme entrepreneurial de référence de l’écosystème Start/Scale Up - Mindset/Money/Growth/ Product /Sales/Dev/Ops | The Family | JOIN LION | Paris</w:t>
        <w:br/>
        <w:t xml:space="preserve">- 2016 : Certification ITIL </w:t>
        <w:br/>
        <w:t xml:space="preserve">- 2013 - 2014 : Master Management &amp; Strategy IT | EM LYON Business School / Centrale LYON | Lyon</w:t>
        <w:br/>
        <w:t xml:space="preserve">- 2011 - 2013 : Master Technologies de l’Information | Centre d’Enseignement et Recherche Informatique (CERI) Université d’Avignon | Avignon</w:t>
        <w:br/>
        <w:t xml:space="preserve">- 2010 - 2011 : Licence Informatique | Université Claude Bernard Lyon | Lyon</w:t>
        <w:br/>
        <w:t xml:space="preserve">- 2008 - 2010 : DUT Informatique | Institut Universitaire de Technologie Lyon | Lyon</w:t>
      </w:r>
    </w:p>
    <w:p w:rsidR="00000000" w:rsidDel="00000000" w:rsidP="00000000" w:rsidRDefault="00000000" w:rsidRPr="00000000" w14:paraId="0000001E">
      <w:pPr>
        <w:spacing w:line="276" w:lineRule="auto"/>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01F">
      <w:pPr>
        <w:pBdr>
          <w:top w:space="0" w:sz="0" w:val="nil"/>
          <w:left w:space="0" w:sz="0" w:val="nil"/>
          <w:bottom w:color="457cbf" w:space="1" w:sz="12" w:val="dashed"/>
          <w:right w:space="0" w:sz="0" w:val="nil"/>
          <w:between w:space="0" w:sz="0" w:val="nil"/>
        </w:pBdr>
        <w:shd w:fill="ffffff" w:val="clear"/>
        <w:tabs>
          <w:tab w:val="left" w:leader="none" w:pos="8720"/>
        </w:tabs>
        <w:spacing w:after="240" w:before="240" w:lineRule="auto"/>
        <w:ind w:right="141"/>
        <w:rPr>
          <w:b w:val="1"/>
          <w:color w:val="888888"/>
          <w:sz w:val="26"/>
          <w:szCs w:val="26"/>
        </w:rPr>
      </w:pPr>
      <w:r w:rsidDel="00000000" w:rsidR="00000000" w:rsidRPr="00000000">
        <w:rPr>
          <w:rFonts w:ascii="Open Sans" w:cs="Open Sans" w:eastAsia="Open Sans" w:hAnsi="Open Sans"/>
          <w:b w:val="1"/>
          <w:smallCaps w:val="1"/>
          <w:color w:val="3a7ec2"/>
          <w:sz w:val="30"/>
          <w:szCs w:val="30"/>
          <w:rtl w:val="0"/>
        </w:rPr>
        <w:t xml:space="preserve">Experiences Professionnelles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-266695</wp:posOffset>
            </wp:positionH>
            <wp:positionV relativeFrom="paragraph">
              <wp:posOffset>171450</wp:posOffset>
            </wp:positionV>
            <wp:extent cx="157480" cy="182880"/>
            <wp:effectExtent b="0" l="0" r="0" t="0"/>
            <wp:wrapSquare wrapText="bothSides" distB="0" distT="0" distL="114300" distR="114300"/>
            <wp:docPr descr="179-notepad.png" id="1003" name="image3.png"/>
            <a:graphic>
              <a:graphicData uri="http://schemas.openxmlformats.org/drawingml/2006/picture">
                <pic:pic>
                  <pic:nvPicPr>
                    <pic:cNvPr descr="179-notepad.png" id="0" name="image3.png"/>
                    <pic:cNvPicPr preferRelativeResize="0"/>
                  </pic:nvPicPr>
                  <pic:blipFill>
                    <a:blip r:embed="rId9"/>
                    <a:srcRect b="0" l="0" r="0" t="0"/>
                    <a:stretch>
                      <a:fillRect/>
                    </a:stretch>
                  </pic:blipFill>
                  <pic:spPr>
                    <a:xfrm>
                      <a:off x="0" y="0"/>
                      <a:ext cx="157480" cy="182880"/>
                    </a:xfrm>
                    <a:prstGeom prst="rect"/>
                    <a:ln/>
                  </pic:spPr>
                </pic:pic>
              </a:graphicData>
            </a:graphic>
          </wp:anchor>
        </w:drawing>
      </w:r>
    </w:p>
    <w:p w:rsidR="00000000" w:rsidDel="00000000" w:rsidP="00000000" w:rsidRDefault="00000000" w:rsidRPr="00000000" w14:paraId="00000020">
      <w:pPr>
        <w:spacing w:after="200" w:line="48.00000000000001" w:lineRule="auto"/>
        <w:rPr>
          <w:rFonts w:ascii="Century Gothic" w:cs="Century Gothic" w:eastAsia="Century Gothic" w:hAnsi="Century Gothic"/>
          <w:color w:val="2d68b4"/>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1">
      <w:pPr>
        <w:spacing w:after="200" w:line="48.00000000000001"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KPMG                                                                                                          Depuis Oct. 2023</w:t>
      </w:r>
      <w:r w:rsidDel="00000000" w:rsidR="00000000" w:rsidRPr="00000000">
        <w:rPr>
          <w:rtl w:val="0"/>
        </w:rPr>
      </w:r>
    </w:p>
    <w:p w:rsidR="00000000" w:rsidDel="00000000" w:rsidP="00000000" w:rsidRDefault="00000000" w:rsidRPr="00000000" w14:paraId="00000022">
      <w:pPr>
        <w:spacing w:after="200" w:line="276"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Manager Consultant Technology IT &amp; Digital Transformation</w:t>
      </w:r>
    </w:p>
    <w:p w:rsidR="00000000" w:rsidDel="00000000" w:rsidP="00000000" w:rsidRDefault="00000000" w:rsidRPr="00000000" w14:paraId="00000023">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4">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Stratégie d'accompagnement pour le Chief Data Officer (CDO) de KPMG dans le cadre de sa feuille de route Data Governance, incluant le déploiement de la stratégie de gouvernance des données à travers le groupe, l'élaboration de meilleures pratiques en matière de gestion et de confidentialité des données, l'identification et la mise en œuvre de premiers livrables pour la résolution de problèmes et l'amélioration des données, la création d'un tableau de bord de pilotage Data et la mise en place d'un processus pour la gestion du cycle de vie des données.</w:t>
      </w:r>
    </w:p>
    <w:p w:rsidR="00000000" w:rsidDel="00000000" w:rsidP="00000000" w:rsidRDefault="00000000" w:rsidRPr="00000000" w14:paraId="00000025">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6">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Accompagnement stratégique au Chief Data Officer (CDO) de KPMG dans le cadre de sa feuille de route Data Governance</w:t>
        <w:br/>
        <w:t xml:space="preserve">- Déploiement de la Stratégie de gouvernance des données dans tout le groupe</w:t>
        <w:br/>
        <w:t xml:space="preserve">- Élaboration avec les partis prenants d'un premier set de meilleures pratiques en matière de gestion et de confidentialités des données</w:t>
        <w:br/>
        <w:t xml:space="preserve">- Quick Wins avec les Équipes Métier &amp; IT</w:t>
        <w:br/>
        <w:t xml:space="preserve">- Aide à l'élaboration d'une première maquette de tableau de bord de pilotage Data</w:t>
        <w:br/>
        <w:t xml:space="preserve">- Élaboration et mise en œuvre d'un processus pour la gestion du cycle de vie des données</w:t>
        <w:br/>
        <w:t xml:space="preserve">- Participation à la création d'une première session de sensibilisation aux enjeux de la gouvernance des données.</w:t>
      </w:r>
    </w:p>
    <w:p w:rsidR="00000000" w:rsidDel="00000000" w:rsidP="00000000" w:rsidRDefault="00000000" w:rsidRPr="00000000" w14:paraId="00000027">
      <w:pPr>
        <w:spacing w:after="200" w:line="276"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B">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C">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1">
      <w:pPr>
        <w:spacing w:after="200" w:line="48.00000000000001"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Blablacar                                                                                                          Depuis Jui. 2023</w:t>
      </w:r>
      <w:r w:rsidDel="00000000" w:rsidR="00000000" w:rsidRPr="00000000">
        <w:rPr>
          <w:rtl w:val="0"/>
        </w:rPr>
      </w:r>
    </w:p>
    <w:p w:rsidR="00000000" w:rsidDel="00000000" w:rsidP="00000000" w:rsidRDefault="00000000" w:rsidRPr="00000000" w14:paraId="00000022">
      <w:pPr>
        <w:spacing w:after="200" w:line="276"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Product &amp; Engineering Project Lead</w:t>
      </w:r>
    </w:p>
    <w:p w:rsidR="00000000" w:rsidDel="00000000" w:rsidP="00000000" w:rsidRDefault="00000000" w:rsidRPr="00000000" w14:paraId="00000023">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4">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Mission de diagnostic de l’infrastructure existante, de révision de la gestion des données principales et de déploiement de premiers PoC pour industrialiser et garantir la scalabilité de l'offre Blablacar, avec une coordination de chaque aspect du projet, mise en place d'un cadre de documentation des processus et des flux de données, et lancement d'une initiative pour la gestion des données.</w:t>
      </w:r>
    </w:p>
    <w:p w:rsidR="00000000" w:rsidDel="00000000" w:rsidP="00000000" w:rsidRDefault="00000000" w:rsidRPr="00000000" w14:paraId="00000025">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6">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Définition du Framework de documentation des processus et des flux de données entre les outils OB</w:t>
        <w:br/>
        <w:t xml:space="preserve">- Challenger et aider les Solution Leads à définir l'architecture technique la plus appropriée</w:t>
        <w:br/>
        <w:t xml:space="preserve">- Coordination de chaque volet du projet et assurer le reporting global et la gestion des risques</w:t>
        <w:br/>
        <w:t xml:space="preserve">- Lancement d’une initiative d’outillage Data (DataGalaxy/Altan/Zeenea) afin d’industrialiser la gestion des données via la construction un Data Glossary, Dictionary et Lineage</w:t>
      </w:r>
    </w:p>
    <w:p w:rsidR="00000000" w:rsidDel="00000000" w:rsidP="00000000" w:rsidRDefault="00000000" w:rsidRPr="00000000" w14:paraId="00000027">
      <w:pPr>
        <w:spacing w:after="200" w:line="276"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8">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Environnement technique : </w:t>
      </w:r>
    </w:p>
    <w:p w:rsidR="00000000" w:rsidDel="00000000" w:rsidP="00000000" w:rsidRDefault="00000000" w:rsidRPr="00000000" w14:paraId="00000029">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2d68b4"/>
          <w:sz w:val="21"/>
          <w:szCs w:val="21"/>
          <w:rtl w:val="0"/>
        </w:rPr>
        <w:t xml:space="preserve"> </w:t>
      </w:r>
      <w:r w:rsidDel="00000000" w:rsidR="00000000" w:rsidRPr="00000000">
        <w:rPr>
          <w:rFonts w:ascii="Century Gothic" w:cs="Century Gothic" w:eastAsia="Century Gothic" w:hAnsi="Century Gothic"/>
          <w:color w:val="000000"/>
          <w:rtl w:val="0"/>
        </w:rPr>
        <w:t xml:space="preserve">- DataGalaxy</w:t>
        <w:br/>
        <w:t xml:space="preserve">- Altan</w:t>
        <w:br/>
        <w:t xml:space="preserve">- Zeenea</w:t>
      </w:r>
    </w:p>
    <w:p w:rsidR="00000000" w:rsidDel="00000000" w:rsidP="00000000" w:rsidRDefault="00000000" w:rsidRPr="00000000" w14:paraId="0000002A">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C">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1">
      <w:pPr>
        <w:spacing w:after="200" w:line="48.00000000000001"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AFD (Agence Française de Développement)                                                                                                          2022 - 2023 </w:t>
        <w:br/>
        <w:t xml:space="preserve">(6 mois)</w:t>
      </w:r>
      <w:r w:rsidDel="00000000" w:rsidR="00000000" w:rsidRPr="00000000">
        <w:rPr>
          <w:rtl w:val="0"/>
        </w:rPr>
      </w:r>
    </w:p>
    <w:p w:rsidR="00000000" w:rsidDel="00000000" w:rsidP="00000000" w:rsidRDefault="00000000" w:rsidRPr="00000000" w14:paraId="00000022">
      <w:pPr>
        <w:spacing w:after="200" w:line="276"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Consultant Product Manager &amp; Appui DSI Direction de Projet</w:t>
      </w:r>
    </w:p>
    <w:p w:rsidR="00000000" w:rsidDel="00000000" w:rsidP="00000000" w:rsidRDefault="00000000" w:rsidRPr="00000000" w14:paraId="00000023">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4">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Refonte de l'outil de versement des fonds de l'AFD et de sa filiale Proparco, avec pour objectif l'optimisation des processus cibles liés aux versements, la conformité aux recommandations des commissaires aux comptes, de l'ACPR et de l'IGE, et la transformation numérique et l'urbanisation du Groupe, tout en assurant des tâches de gestion de projet en méthodologie AGILE et d'appui à la Direction de Projet pour le suivi de l'avancement fonctionnel.</w:t>
      </w:r>
    </w:p>
    <w:p w:rsidR="00000000" w:rsidDel="00000000" w:rsidP="00000000" w:rsidRDefault="00000000" w:rsidRPr="00000000" w14:paraId="00000025">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6">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Gestion de projet en méthodologie AGILE avec les intégrateurs pour le projet NewVersement chez AFD &amp; Proparco</w:t>
        <w:br/>
        <w:t xml:space="preserve">- Gestion du Backlog, rédaction des Users Stories, tests et recette métier des Users Stories et corrections des anomalies</w:t>
        <w:br/>
        <w:t xml:space="preserve">- Préparation et démonstration des fonctionnalités avec les équipes métiers, qualification des besoins fonctionnelles</w:t>
        <w:br/>
        <w:t xml:space="preserve">- Participation aux cérémonies agiles </w:t>
        <w:br/>
        <w:t xml:space="preserve">- Suivi de l’avancement fonctionnel global de l’ensemble des chantiers et du respect du planning pour le projet NewVersement</w:t>
        <w:br/>
        <w:t xml:space="preserve">- Préparation et participation aux instances de pilotage </w:t>
        <w:br/>
        <w:t xml:space="preserve">- Pilotage des sujets transverses DSI : Interfaçage avec les applications, Reportings, scénario transitoire, reprise de données.</w:t>
      </w:r>
    </w:p>
    <w:p w:rsidR="00000000" w:rsidDel="00000000" w:rsidP="00000000" w:rsidRDefault="00000000" w:rsidRPr="00000000" w14:paraId="00000027">
      <w:pPr>
        <w:spacing w:after="200" w:line="276"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8">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Environnement technique : </w:t>
      </w:r>
    </w:p>
    <w:p w:rsidR="00000000" w:rsidDel="00000000" w:rsidP="00000000" w:rsidRDefault="00000000" w:rsidRPr="00000000" w14:paraId="00000029">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2d68b4"/>
          <w:sz w:val="21"/>
          <w:szCs w:val="21"/>
          <w:rtl w:val="0"/>
        </w:rPr>
        <w:t xml:space="preserve"> </w:t>
      </w:r>
      <w:r w:rsidDel="00000000" w:rsidR="00000000" w:rsidRPr="00000000">
        <w:rPr>
          <w:rFonts w:ascii="Century Gothic" w:cs="Century Gothic" w:eastAsia="Century Gothic" w:hAnsi="Century Gothic"/>
          <w:color w:val="000000"/>
          <w:rtl w:val="0"/>
        </w:rPr>
        <w:t xml:space="preserve">- JIRA</w:t>
        <w:br/>
        <w:t xml:space="preserve">- BPM Bonitasoft</w:t>
      </w:r>
    </w:p>
    <w:p w:rsidR="00000000" w:rsidDel="00000000" w:rsidP="00000000" w:rsidRDefault="00000000" w:rsidRPr="00000000" w14:paraId="0000002A">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C">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1">
      <w:pPr>
        <w:spacing w:after="200" w:line="48.00000000000001"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Proparco                                                                                                          2022 - 2023 (6 mois)</w:t>
      </w:r>
      <w:r w:rsidDel="00000000" w:rsidR="00000000" w:rsidRPr="00000000">
        <w:rPr>
          <w:rtl w:val="0"/>
        </w:rPr>
      </w:r>
    </w:p>
    <w:p w:rsidR="00000000" w:rsidDel="00000000" w:rsidP="00000000" w:rsidRDefault="00000000" w:rsidRPr="00000000" w14:paraId="00000022">
      <w:pPr>
        <w:spacing w:after="200" w:line="276"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Consultant Product Manager &amp; Appui DSI Direction de Projet</w:t>
      </w:r>
    </w:p>
    <w:p w:rsidR="00000000" w:rsidDel="00000000" w:rsidP="00000000" w:rsidRDefault="00000000" w:rsidRPr="00000000" w14:paraId="00000023">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4">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Refonte de l'outil de versement des fonds de l'Agence Française de Développement (AFD) et de sa filiale Proparco, visant à optimiser l'efficience des processus liés aux versements et à assurer la conformité aux recommandations des commissaires aux comptes, de l'ACPR et de l'IGE, tout en favorisant la transformation numérique et l'urbanisation du Groupe.</w:t>
      </w:r>
    </w:p>
    <w:p w:rsidR="00000000" w:rsidDel="00000000" w:rsidP="00000000" w:rsidRDefault="00000000" w:rsidRPr="00000000" w14:paraId="00000025">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6">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Gestion de projet en méthodologie AGILE avec les intégrateurs pour le projet NewVersement de Proparco</w:t>
        <w:br/>
        <w:t xml:space="preserve">- Gestion du Backlog, rédaction des Users Stories, tests et recette métier des Users Stories et corrections des anomalies</w:t>
        <w:br/>
        <w:t xml:space="preserve">- Préparation et démonstration des fonctionnalités avec les équipes métiers, qualification des besoins fonctionnelles</w:t>
        <w:br/>
        <w:t xml:space="preserve">- Participation aux cérémonies agiles </w:t>
        <w:br/>
        <w:t xml:space="preserve">- Suivi de l’avancement fonctionnel global de l’ensemble des chantiers et du respect du planning</w:t>
        <w:br/>
        <w:t xml:space="preserve">- Préparation et participation aux instances de pilotage (supports, compte-rendu, comités)</w:t>
        <w:br/>
        <w:t xml:space="preserve">- Pilotage des sujets transverses DSI : Interfaçage avec les applications, Reportings, scénario transitoire, reprise de données.</w:t>
      </w:r>
    </w:p>
    <w:p w:rsidR="00000000" w:rsidDel="00000000" w:rsidP="00000000" w:rsidRDefault="00000000" w:rsidRPr="00000000" w14:paraId="00000027">
      <w:pPr>
        <w:spacing w:after="200" w:line="276"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B">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C">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1">
      <w:pPr>
        <w:spacing w:after="200" w:line="48.00000000000001"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Natixis                                                                                                          3 mois</w:t>
      </w:r>
      <w:r w:rsidDel="00000000" w:rsidR="00000000" w:rsidRPr="00000000">
        <w:rPr>
          <w:rtl w:val="0"/>
        </w:rPr>
      </w:r>
    </w:p>
    <w:p w:rsidR="00000000" w:rsidDel="00000000" w:rsidP="00000000" w:rsidRDefault="00000000" w:rsidRPr="00000000" w14:paraId="00000022">
      <w:pPr>
        <w:spacing w:after="200" w:line="276"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Manager Consultant Technology IT &amp; Digital Transformation</w:t>
      </w:r>
    </w:p>
    <w:p w:rsidR="00000000" w:rsidDel="00000000" w:rsidP="00000000" w:rsidRDefault="00000000" w:rsidRPr="00000000" w14:paraId="00000023">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4">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Étude et cadrage stratégique pour la mise en place d'un nouveau service de Reverse Repo pour optimiser le bilan du groupe, impliquant des calculs d'optimisation bilanciels, des entretiens avec diverses équipes métiers, et la consolidation des données pour préparer une présentation pour le top management de Natixis.</w:t>
      </w:r>
    </w:p>
    <w:p w:rsidR="00000000" w:rsidDel="00000000" w:rsidP="00000000" w:rsidRDefault="00000000" w:rsidRPr="00000000" w14:paraId="00000025">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6">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Préparation et cadrage des différentes phases du projet, définition du planning, organisation de la comitologie </w:t>
        <w:br/>
        <w:t xml:space="preserve">- Etude d’impact sur les ratios-objets de l'étude - à optimiser (RWA, Leverage Ratio)</w:t>
        <w:br/>
        <w:t xml:space="preserve">- Calcul d’optimisation bilanciel pour évaluer l’impact de l’opération de reverse Repo (20 Md€ de liquidité contre prêt de titres)</w:t>
        <w:br/>
        <w:t xml:space="preserve">- Conduite d’entretiens avec les équipes métiers Legal, Compliance, Finance, Compta, IT &amp; Ops, etc.</w:t>
        <w:br/>
        <w:t xml:space="preserve">- Consolidation des données issues de l’investigation auprès des équipes métiers dans un document de Deep Dive</w:t>
        <w:br/>
        <w:t xml:space="preserve">- Préparation du support d’Executive Summary à présenter au Top Management Natixis pour validation de la faisabilité.</w:t>
      </w:r>
    </w:p>
    <w:p w:rsidR="00000000" w:rsidDel="00000000" w:rsidP="00000000" w:rsidRDefault="00000000" w:rsidRPr="00000000" w14:paraId="00000027">
      <w:pPr>
        <w:spacing w:after="200" w:line="276"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B">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C">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1">
      <w:pPr>
        <w:spacing w:after="200" w:line="48.00000000000001"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BNP Paribas CIB                                                                                                          3 ans</w:t>
      </w:r>
      <w:r w:rsidDel="00000000" w:rsidR="00000000" w:rsidRPr="00000000">
        <w:rPr>
          <w:rtl w:val="0"/>
        </w:rPr>
      </w:r>
    </w:p>
    <w:p w:rsidR="00000000" w:rsidDel="00000000" w:rsidP="00000000" w:rsidRDefault="00000000" w:rsidRPr="00000000" w14:paraId="00000022">
      <w:pPr>
        <w:spacing w:after="200" w:line="276"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Product Manager</w:t>
      </w:r>
    </w:p>
    <w:p w:rsidR="00000000" w:rsidDel="00000000" w:rsidP="00000000" w:rsidRDefault="00000000" w:rsidRPr="00000000" w14:paraId="00000023">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4">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Implémentation d'évolutions structurantes pour l'application Archer dédiée à la gestion des risques technologiques et de cybersécurité de BNP Paribas CIB, incluant l'embarquement de processus métiers, le pilotage de projet, la formalisation des procédures, la gestion des anomalies et la gouvernance des données, ainsi que le déploiement de plans de contrôles Groupe sur plus de 50 entités au niveau mondial.</w:t>
      </w:r>
    </w:p>
    <w:p w:rsidR="00000000" w:rsidDel="00000000" w:rsidP="00000000" w:rsidRDefault="00000000" w:rsidRPr="00000000" w14:paraId="00000025">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6">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Onboarding d’une dizaine de processus métiers.</w:t>
        <w:br/>
        <w:t xml:space="preserve">- Pilotage de projet, reportings, formalisation des supports de présentation de comités, définition de Roadmap.</w:t>
        <w:br/>
        <w:t xml:space="preserve">- Revue et formalisation des procédures et mode opératoires.</w:t>
        <w:br/>
        <w:t xml:space="preserve">- Embarquement de plus de 1000 utilisateurs internationaux.</w:t>
        <w:br/>
        <w:t xml:space="preserve">- Rédaction des études de besoins et spécifications fonctionnelles avec les équipes métiers et opérationnelles internationales.</w:t>
        <w:br/>
        <w:t xml:space="preserve">- Cadrage et implémentation de nouvelles fonctionnalités et encadrement de 3 consultants.</w:t>
        <w:br/>
        <w:t xml:space="preserve">- Gestion des anomalies, serveurs et bases de données, monitoring et optimisation des performances.</w:t>
        <w:br/>
        <w:t xml:space="preserve">- Conduite de tests et rédaction de cahiers de recettes, qualification et mise en production.</w:t>
        <w:br/>
        <w:t xml:space="preserve">- Gouvernance des données, imports, revue de la qualité, historisation et pistes d’audit.</w:t>
        <w:br/>
        <w:t xml:space="preserve">- Marketing de services dans le cadre de la réorganisation stratégique des équipes Risques et Cybersécurité CIB.</w:t>
        <w:br/>
        <w:t xml:space="preserve">- Déploiement de plans de contrôles Groupe sur plus de 50 entités Worldwide, suivi d’activité.</w:t>
        <w:br/>
        <w:t xml:space="preserve">- Pilotage du programme de Convergence Groupe vers un outil unique de GRC en tant que SPOC.</w:t>
        <w:br/>
        <w:t xml:space="preserve">- Réconciliation de référentiels, processus de gouvernance et procédures.</w:t>
        <w:br/>
        <w:t xml:space="preserve">- Analyses d’impact, conduites d’ateliers, tests et recettes, accompagnement au changement.</w:t>
        <w:br/>
        <w:t xml:space="preserve">- Organisation des comités, production des supports, « lobbying » auprès du Groupe.</w:t>
        <w:br/>
        <w:t xml:space="preserve">- Projet d’automatisation de la production centralisée des Dashboards et KPI des équipes CIB via un l’outil ETL AB Initio et de Power BI.</w:t>
        <w:br/>
        <w:t xml:space="preserve">- Assistance à la mise en place d’un entrepôt de données avec système de Business Intelligence.</w:t>
        <w:br/>
        <w:t xml:space="preserve">- Collecte et analyse des données en provenance de multiples sources hétérogènes provenant de CIB et de tout le Groupe.</w:t>
        <w:br/>
        <w:t xml:space="preserve">- Fiabilisation des données et unification et de la production de reportings pour les comités.</w:t>
      </w:r>
    </w:p>
    <w:p w:rsidR="00000000" w:rsidDel="00000000" w:rsidP="00000000" w:rsidRDefault="00000000" w:rsidRPr="00000000" w14:paraId="00000027">
      <w:pPr>
        <w:spacing w:after="200" w:line="276"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8">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Environnement technique : </w:t>
      </w:r>
    </w:p>
    <w:p w:rsidR="00000000" w:rsidDel="00000000" w:rsidP="00000000" w:rsidRDefault="00000000" w:rsidRPr="00000000" w14:paraId="00000029">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2d68b4"/>
          <w:sz w:val="21"/>
          <w:szCs w:val="21"/>
          <w:rtl w:val="0"/>
        </w:rPr>
        <w:t xml:space="preserve"> </w:t>
      </w:r>
      <w:r w:rsidDel="00000000" w:rsidR="00000000" w:rsidRPr="00000000">
        <w:rPr>
          <w:rFonts w:ascii="Century Gothic" w:cs="Century Gothic" w:eastAsia="Century Gothic" w:hAnsi="Century Gothic"/>
          <w:color w:val="000000"/>
          <w:rtl w:val="0"/>
        </w:rPr>
        <w:t xml:space="preserve">- Archer GRC</w:t>
        <w:br/>
        <w:t xml:space="preserve">- SQL, Java, C#, C++, C</w:t>
        <w:br/>
        <w:t xml:space="preserve">- HTML/Javascript/PHP</w:t>
        <w:br/>
        <w:t xml:space="preserve">- Power BI</w:t>
        <w:br/>
        <w:t xml:space="preserve">- VBA/Excel</w:t>
        <w:br/>
        <w:t xml:space="preserve">- AB Initio</w:t>
        <w:br/>
        <w:t xml:space="preserve">- ETL</w:t>
      </w:r>
    </w:p>
    <w:p w:rsidR="00000000" w:rsidDel="00000000" w:rsidP="00000000" w:rsidRDefault="00000000" w:rsidRPr="00000000" w14:paraId="0000002A">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C">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1">
      <w:pPr>
        <w:spacing w:after="200" w:line="48.00000000000001"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CNP Assurances                                                                                                          3 ans</w:t>
      </w:r>
      <w:r w:rsidDel="00000000" w:rsidR="00000000" w:rsidRPr="00000000">
        <w:rPr>
          <w:rtl w:val="0"/>
        </w:rPr>
      </w:r>
    </w:p>
    <w:p w:rsidR="00000000" w:rsidDel="00000000" w:rsidP="00000000" w:rsidRDefault="00000000" w:rsidRPr="00000000" w14:paraId="00000022">
      <w:pPr>
        <w:spacing w:after="200" w:line="276"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Data Governance Officer</w:t>
      </w:r>
    </w:p>
    <w:p w:rsidR="00000000" w:rsidDel="00000000" w:rsidP="00000000" w:rsidRDefault="00000000" w:rsidRPr="00000000" w14:paraId="00000023">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4">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Définition et déploiement du dispositif de gouvernance de données du premier assureur français dans le cadre de la directive Solvabilité 2 en conformité avec les exigences du régulateur (ACPR), incluant le calcul de sensibilité et l'identification de variables critiques en collaboration avec les équipes actuaires, la définition et l'implémentation d’un Framework complet de gouvernance de données sur plusieurs domaines assurantiels, la cartographie des processus, flux et systèmes d'informations, l'identification des contrôles, le pilotage des campagnes, le suivi des plans d'actions et recommandations, et la proposition de nouveaux contrôles conformes aux exigences réglementaires.</w:t>
      </w:r>
    </w:p>
    <w:p w:rsidR="00000000" w:rsidDel="00000000" w:rsidP="00000000" w:rsidRDefault="00000000" w:rsidRPr="00000000" w14:paraId="00000025">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6">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Calcul de sensibilité et identification de variables critiques en collaboration avec les équipes actuaires</w:t>
        <w:br/>
        <w:t xml:space="preserve">- Définition et implémentation d’un Framework complet de gouvernance de données sur une dizaine de domaine assurantiel</w:t>
        <w:br/>
        <w:t xml:space="preserve">- Cartographie des processus flux et systèmes d’informations, conduite d'ateliers pour chacun des domaines fonctionnels</w:t>
        <w:br/>
        <w:t xml:space="preserve">- Identification des contrôles, pilotage des campagnes, suivi des plans d'actions et recommandations</w:t>
        <w:br/>
        <w:t xml:space="preserve">- Design du Framework (Registre/dictionnaire de données, Certificat de contrôles, tableau de synthèse)</w:t>
        <w:br/>
        <w:t xml:space="preserve">- Proposition de nouveaux contrôles conformes aux exigences réglementaires d’ exhaustivité (données manquantes), exactitude (valeur aberrantes), et pertinence (données à jour, etc.)</w:t>
      </w:r>
    </w:p>
    <w:p w:rsidR="00000000" w:rsidDel="00000000" w:rsidP="00000000" w:rsidRDefault="00000000" w:rsidRPr="00000000" w14:paraId="00000027">
      <w:pPr>
        <w:spacing w:after="200" w:line="276"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8">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Environnement technique : </w:t>
      </w:r>
    </w:p>
    <w:p w:rsidR="00000000" w:rsidDel="00000000" w:rsidP="00000000" w:rsidRDefault="00000000" w:rsidRPr="00000000" w14:paraId="00000029">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2d68b4"/>
          <w:sz w:val="21"/>
          <w:szCs w:val="21"/>
          <w:rtl w:val="0"/>
        </w:rPr>
        <w:t xml:space="preserve"> </w:t>
      </w:r>
      <w:r w:rsidDel="00000000" w:rsidR="00000000" w:rsidRPr="00000000">
        <w:rPr>
          <w:rFonts w:ascii="Century Gothic" w:cs="Century Gothic" w:eastAsia="Century Gothic" w:hAnsi="Century Gothic"/>
          <w:color w:val="000000"/>
          <w:rtl w:val="0"/>
        </w:rPr>
        <w:t xml:space="preserve">- RIEN</w:t>
      </w:r>
    </w:p>
    <w:p w:rsidR="00000000" w:rsidDel="00000000" w:rsidP="00000000" w:rsidRDefault="00000000" w:rsidRPr="00000000" w14:paraId="0000002A">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C">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1">
      <w:pPr>
        <w:spacing w:after="200" w:line="48.00000000000001"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Crédit Agricole SA                                                                                                          1 an</w:t>
      </w:r>
      <w:r w:rsidDel="00000000" w:rsidR="00000000" w:rsidRPr="00000000">
        <w:rPr>
          <w:rtl w:val="0"/>
        </w:rPr>
      </w:r>
    </w:p>
    <w:p w:rsidR="00000000" w:rsidDel="00000000" w:rsidP="00000000" w:rsidRDefault="00000000" w:rsidRPr="00000000" w14:paraId="00000022">
      <w:pPr>
        <w:spacing w:after="200" w:line="276"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PMO Central (Project Management Officer)</w:t>
      </w:r>
    </w:p>
    <w:p w:rsidR="00000000" w:rsidDel="00000000" w:rsidP="00000000" w:rsidRDefault="00000000" w:rsidRPr="00000000" w14:paraId="00000023">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4">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Conseil et gestion du programme de remédiation OFAC (Office Of Foreign Assets Control) pour mise en conformité réglementaire en matière de sanctions internationales US, incluant la définition du plan de contrôle permanent, le suivi du programme structuré en plusieurs chantiers et jalons, la mise en conformité des procédures et la gestion de la qualité des données.</w:t>
      </w:r>
    </w:p>
    <w:p w:rsidR="00000000" w:rsidDel="00000000" w:rsidP="00000000" w:rsidRDefault="00000000" w:rsidRPr="00000000" w14:paraId="00000025">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6">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Définition du plan de contrôle permanent basé sur les procédures Groupe et déploiement sur les entités et caisse régionales</w:t>
        <w:br/>
        <w:t xml:space="preserve">- Suivi du programme structuré en 7 chantiers (Data, RH, Gouvernance, etc.) et 143 jalons dont 66 clôturés en 2 ans</w:t>
        <w:br/>
        <w:t xml:space="preserve">- Définition du RACI au sein de la structure organisationnelle cible des équipes Sanctions et Compliance</w:t>
        <w:br/>
        <w:t xml:space="preserve">- Mise en conformité des procédures Groupes en alignement avec les exigences de sanctions</w:t>
        <w:br/>
        <w:t xml:space="preserve">- Revue de la qualité des données et enrichissement, remédiation des données clients, KYC</w:t>
        <w:br/>
        <w:t xml:space="preserve">- Implémentation d’un outil de screening des transactions pour identifier celles sous sanctions</w:t>
        <w:br/>
        <w:t xml:space="preserve">- Analyse de faisabilité de migration des plateformes de messagerie SWIFT vers la plateforme centrale Groupe</w:t>
        <w:br/>
        <w:t xml:space="preserve">- Gestion de ressources, plannings, reporting, coordination d’équipes banque, avocats et Deloitte.</w:t>
      </w:r>
    </w:p>
    <w:p w:rsidR="00000000" w:rsidDel="00000000" w:rsidP="00000000" w:rsidRDefault="00000000" w:rsidRPr="00000000" w14:paraId="00000027">
      <w:pPr>
        <w:spacing w:after="200" w:line="276"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B">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C">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1">
      <w:pPr>
        <w:spacing w:after="200" w:line="48.00000000000001"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Banque de France                                                                                                          Il a travaillé à la Banque de France pendant 9 mois.</w:t>
      </w:r>
      <w:r w:rsidDel="00000000" w:rsidR="00000000" w:rsidRPr="00000000">
        <w:rPr>
          <w:rtl w:val="0"/>
        </w:rPr>
      </w:r>
    </w:p>
    <w:p w:rsidR="00000000" w:rsidDel="00000000" w:rsidP="00000000" w:rsidRDefault="00000000" w:rsidRPr="00000000" w14:paraId="00000022">
      <w:pPr>
        <w:spacing w:after="200" w:line="276"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Auditeur</w:t>
      </w:r>
    </w:p>
    <w:p w:rsidR="00000000" w:rsidDel="00000000" w:rsidP="00000000" w:rsidRDefault="00000000" w:rsidRPr="00000000" w14:paraId="00000023">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4">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Revue des contrôles généraux informatiques dans le cadre des audits IT en support aux auditeurs financiers pour la certification des bilans comptables de la Banque de France, comprenant l'audit du processus d’alimentation des valorisation et revalorisation des Garanties, la revue des habilitations, la recertification des comptes génériques et de service, la modélisation, description et cartographie des flux et identification des contrôles, l'identification de la chaine d’applications du système d’information, le traçage du cheminement d’échantillon de données à travers la chaine d’applications et l'émission et suivi des recommandations et plans d’actions.</w:t>
      </w:r>
    </w:p>
    <w:p w:rsidR="00000000" w:rsidDel="00000000" w:rsidP="00000000" w:rsidRDefault="00000000" w:rsidRPr="00000000" w14:paraId="00000025">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6">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Revue des contrôles généraux informatiques dans le cadre des audits IT en support aux auditeurs financiers pour la certification des bilans comptables de la Banque de France</w:t>
        <w:br/>
        <w:t xml:space="preserve">- Audit du processus d’alimentation des valorisation et revalorisation des Garanties</w:t>
        <w:br/>
        <w:t xml:space="preserve">- Revue des habilitations, recertification des comptes génériques et de service</w:t>
        <w:br/>
        <w:t xml:space="preserve">- Modélisation, description et cartographie des flux et identification des contrôles</w:t>
        <w:br/>
        <w:t xml:space="preserve">- Identification de la chaine d’applications du système d’information</w:t>
        <w:br/>
        <w:t xml:space="preserve">- Traçage du cheminement d’échantillon de données à travers la chaine d’applications</w:t>
        <w:br/>
        <w:t xml:space="preserve">- Emission et suivi des recommandations et plans d’actions.</w:t>
      </w:r>
    </w:p>
    <w:p w:rsidR="00000000" w:rsidDel="00000000" w:rsidP="00000000" w:rsidRDefault="00000000" w:rsidRPr="00000000" w14:paraId="00000027">
      <w:pPr>
        <w:spacing w:after="200" w:line="276"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B">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C">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1">
      <w:pPr>
        <w:spacing w:after="200" w:line="48.00000000000001"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Sogecap                                                                                                          9 mois</w:t>
      </w:r>
      <w:r w:rsidDel="00000000" w:rsidR="00000000" w:rsidRPr="00000000">
        <w:rPr>
          <w:rtl w:val="0"/>
        </w:rPr>
      </w:r>
    </w:p>
    <w:p w:rsidR="00000000" w:rsidDel="00000000" w:rsidP="00000000" w:rsidRDefault="00000000" w:rsidRPr="00000000" w14:paraId="00000022">
      <w:pPr>
        <w:spacing w:after="200" w:line="276"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Auditeur</w:t>
      </w:r>
    </w:p>
    <w:p w:rsidR="00000000" w:rsidDel="00000000" w:rsidP="00000000" w:rsidRDefault="00000000" w:rsidRPr="00000000" w14:paraId="00000023">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4">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Audit des processus d’alimentation des valorisations et revalorisations des Garanties, revue des habilitations, certification des comptes génériques et de service, modélisation, description et cartographie des flux, identification des contrôles, identification de la chaîne d'applications du système d'information, traçage du cheminement d'échantillon de données à travers la chaîne d'applications, émission et suivi des recommandations et plans d'actions.</w:t>
      </w:r>
    </w:p>
    <w:p w:rsidR="00000000" w:rsidDel="00000000" w:rsidP="00000000" w:rsidRDefault="00000000" w:rsidRPr="00000000" w14:paraId="00000025">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6">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Revue des contrôles généraux informatiques dans le cadre des audits IT en soutien aux auditeurs financiers pour la certification des bilans comptables de la Banque de France</w:t>
        <w:br/>
        <w:t xml:space="preserve">- Audit du processus d’alimentation des valorisations et revalorisations des Garanties</w:t>
        <w:br/>
        <w:t xml:space="preserve">- Revue des habilitations, recertification des comptes génériques et de service</w:t>
        <w:br/>
        <w:t xml:space="preserve">- Modélisation, description et cartographie des flux et identification des contrôles</w:t>
        <w:br/>
        <w:t xml:space="preserve">- Identification de la chaîne d'applications du système d'information</w:t>
        <w:br/>
        <w:t xml:space="preserve">- Traçage du cheminement d'échantillon de données à travers la chaîne d'applications</w:t>
        <w:br/>
        <w:t xml:space="preserve">- Émission et suivi des recommandations et plans d'actions.</w:t>
      </w:r>
    </w:p>
    <w:p w:rsidR="00000000" w:rsidDel="00000000" w:rsidP="00000000" w:rsidRDefault="00000000" w:rsidRPr="00000000" w14:paraId="00000027">
      <w:pPr>
        <w:spacing w:after="200" w:line="276"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B">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C">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1">
      <w:pPr>
        <w:spacing w:after="200" w:line="48.00000000000001"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Banque Privée Edmond de Rothschild                                                                                                          1 an</w:t>
      </w:r>
      <w:r w:rsidDel="00000000" w:rsidR="00000000" w:rsidRPr="00000000">
        <w:rPr>
          <w:rtl w:val="0"/>
        </w:rPr>
      </w:r>
    </w:p>
    <w:p w:rsidR="00000000" w:rsidDel="00000000" w:rsidP="00000000" w:rsidRDefault="00000000" w:rsidRPr="00000000" w14:paraId="00000022">
      <w:pPr>
        <w:spacing w:after="200" w:line="276"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Data Analyst</w:t>
      </w:r>
    </w:p>
    <w:p w:rsidR="00000000" w:rsidDel="00000000" w:rsidP="00000000" w:rsidRDefault="00000000" w:rsidRPr="00000000" w14:paraId="00000023">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4">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Pilotage du dispositif de management de données bancaire et des investigations dans le cadre de la loi extraterritoriale FATCA du Department Of Justice américain visant à mettre fin au secret bancaire suisse, avec des tâches comprenant la coordination des équipes d'avocats US/suisses et des équipes bancaires, l'analyse et l'investigation pour l'identification des "US Persons", la gestion d'un entrepôt de données conçu ad hoc, et la construction de scripts d'analyses en langage SQL, PL/SQL, Python.</w:t>
      </w:r>
    </w:p>
    <w:p w:rsidR="00000000" w:rsidDel="00000000" w:rsidP="00000000" w:rsidRDefault="00000000" w:rsidRPr="00000000" w14:paraId="00000025">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6">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Coordination des équipes d'avocats US / suisses et des équipes bancaires</w:t>
        <w:br/>
        <w:t xml:space="preserve">- Analyse et investigation pour l'identification des « US Persons », revue documentaire</w:t>
        <w:br/>
        <w:t xml:space="preserve">- Gestion d'un entrepôt de données conçu ad hoc, et alimenté par des sources de données hétérogènes (physique et numérique)</w:t>
        <w:br/>
        <w:t xml:space="preserve">- Construction de scripts d'analyses en langage SQL, PL/SQL, Python</w:t>
      </w:r>
    </w:p>
    <w:p w:rsidR="00000000" w:rsidDel="00000000" w:rsidP="00000000" w:rsidRDefault="00000000" w:rsidRPr="00000000" w14:paraId="00000027">
      <w:pPr>
        <w:spacing w:after="200" w:line="276"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B">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C">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1">
      <w:pPr>
        <w:spacing w:after="200" w:line="48.00000000000001"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Crédit Mutuel Arkea                                                                                                          2014-2018 (4 ans)</w:t>
      </w:r>
      <w:r w:rsidDel="00000000" w:rsidR="00000000" w:rsidRPr="00000000">
        <w:rPr>
          <w:rtl w:val="0"/>
        </w:rPr>
      </w:r>
    </w:p>
    <w:p w:rsidR="00000000" w:rsidDel="00000000" w:rsidP="00000000" w:rsidRDefault="00000000" w:rsidRPr="00000000" w14:paraId="00000022">
      <w:pPr>
        <w:spacing w:after="200" w:line="276"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Asset Quality Review</w:t>
        <w:br/>
        <w:t xml:space="preserve"/>
      </w:r>
    </w:p>
    <w:p w:rsidR="00000000" w:rsidDel="00000000" w:rsidP="00000000" w:rsidRDefault="00000000" w:rsidRPr="00000000" w14:paraId="00000023">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4">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Mission d'examen de la qualité des actifs des principales banques de l'Union européenne mise en œuvre par la Banque centrale européenne et l’Autorité bancaire européenne, incluant une étude exhaustive de bilan, la définition et mise en œuvre de contrôles, analyse de risques, et automatisation en VBA.</w:t>
      </w:r>
    </w:p>
    <w:p w:rsidR="00000000" w:rsidDel="00000000" w:rsidP="00000000" w:rsidRDefault="00000000" w:rsidRPr="00000000" w14:paraId="00000025">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6">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Examen de la qualité des actifs des principales banques de l’Union européenne</w:t>
        <w:br/>
        <w:t xml:space="preserve">- Étude exhaustive de bilan </w:t>
        <w:br/>
        <w:t xml:space="preserve">- Définition et mise en œuvre de contrôles</w:t>
        <w:br/>
        <w:t xml:space="preserve">- Analyse de risques</w:t>
        <w:br/>
        <w:t xml:space="preserve">- Automatisation VBA</w:t>
      </w:r>
    </w:p>
    <w:p w:rsidR="00000000" w:rsidDel="00000000" w:rsidP="00000000" w:rsidRDefault="00000000" w:rsidRPr="00000000" w14:paraId="00000027">
      <w:pPr>
        <w:spacing w:after="200" w:line="276"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B">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C">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p>
    <w:p w:rsidR="00000000" w:rsidDel="00000000" w:rsidP="00000000" w:rsidRDefault="00000000" w:rsidRPr="00000000" w14:paraId="0000002D">
      <w:pPr>
        <w:spacing w:after="200" w:line="276" w:lineRule="auto"/>
        <w:rPr>
          <w:rFonts w:ascii="Century Gothic" w:cs="Century Gothic" w:eastAsia="Century Gothic" w:hAnsi="Century Gothic"/>
          <w:color w:val="000000"/>
          <w:sz w:val="23"/>
          <w:szCs w:val="23"/>
        </w:rPr>
      </w:pPr>
      <w:r w:rsidDel="00000000" w:rsidR="00000000" w:rsidRPr="00000000">
        <w:rPr>
          <w:rtl w:val="0"/>
        </w:rPr>
      </w:r>
    </w:p>
    <w:p w:rsidR="00000000" w:rsidDel="00000000" w:rsidP="00000000" w:rsidRDefault="00000000" w:rsidRPr="00000000" w14:paraId="0000002E">
      <w:pPr>
        <w:spacing w:after="200" w:line="276" w:lineRule="auto"/>
        <w:rPr>
          <w:rFonts w:ascii="Century Gothic" w:cs="Century Gothic" w:eastAsia="Century Gothic" w:hAnsi="Century Gothic"/>
          <w:color w:val="000000"/>
          <w:sz w:val="23"/>
          <w:szCs w:val="23"/>
        </w:rPr>
      </w:pPr>
      <w:r w:rsidDel="00000000" w:rsidR="00000000" w:rsidRPr="00000000">
        <w:rPr>
          <w:rtl w:val="0"/>
        </w:rPr>
      </w:r>
    </w:p>
    <w:p w:rsidR="00000000" w:rsidDel="00000000" w:rsidP="00000000" w:rsidRDefault="00000000" w:rsidRPr="00000000" w14:paraId="0000002F">
      <w:pPr>
        <w:spacing w:after="200" w:line="276" w:lineRule="auto"/>
        <w:rPr>
          <w:rFonts w:ascii="Century Gothic" w:cs="Century Gothic" w:eastAsia="Century Gothic" w:hAnsi="Century Gothic"/>
          <w:color w:val="000000"/>
          <w:sz w:val="23"/>
          <w:szCs w:val="23"/>
        </w:rPr>
      </w:pPr>
      <w:r w:rsidDel="00000000" w:rsidR="00000000" w:rsidRPr="00000000">
        <w:rPr>
          <w:rtl w:val="0"/>
        </w:rPr>
      </w:r>
    </w:p>
    <w:sectPr>
      <w:headerReference r:id="rId10" w:type="default"/>
      <w:headerReference r:id="rId11" w:type="first"/>
      <w:footerReference r:id="rId12" w:type="default"/>
      <w:footerReference r:id="rId13" w:type="first"/>
      <w:pgSz w:h="16838" w:w="11906" w:orient="portrait"/>
      <w:pgMar w:bottom="1134" w:top="1134" w:left="1134" w:right="991" w:header="0"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leader="none" w:pos="4153"/>
        <w:tab w:val="right" w:leader="none" w:pos="8306"/>
      </w:tabs>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leader="none" w:pos="4153"/>
        <w:tab w:val="right" w:leader="none" w:pos="8306"/>
      </w:tabs>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spacing w:before="200" w:lineRule="auto"/>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1685925</wp:posOffset>
          </wp:positionH>
          <wp:positionV relativeFrom="paragraph">
            <wp:posOffset>161925</wp:posOffset>
          </wp:positionV>
          <wp:extent cx="2655128" cy="842963"/>
          <wp:effectExtent b="0" l="0" r="0" t="0"/>
          <wp:wrapNone/>
          <wp:docPr id="24"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2655128" cy="842963"/>
                  </a:xfrm>
                  <a:prstGeom prst="rect"/>
                  <a:ln/>
                </pic:spPr>
              </pic:pic>
            </a:graphicData>
          </a:graphic>
        </wp:anchor>
      </w:drawing>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leader="none" w:pos="2835"/>
        <w:tab w:val="right" w:leader="none" w:pos="9638"/>
      </w:tabs>
      <w:ind w:left="-850" w:firstLine="0"/>
      <w:jc w:val="center"/>
      <w:rPr>
        <w:sz w:val="36"/>
        <w:szCs w:val="36"/>
      </w:rPr>
    </w:pPr>
    <w:r w:rsidDel="00000000" w:rsidR="00000000" w:rsidRPr="00000000">
      <w:rPr>
        <w:sz w:val="36"/>
        <w:szCs w:val="36"/>
        <w:rtl w:val="0"/>
      </w:rPr>
      <w:tab/>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leader="none" w:pos="2835"/>
        <w:tab w:val="left" w:leader="none" w:pos="4130"/>
        <w:tab w:val="right" w:leader="none" w:pos="9638"/>
      </w:tabs>
      <w:spacing w:after="240" w:lineRule="auto"/>
      <w:jc w:val="right"/>
      <w:rPr>
        <w:rFonts w:ascii="Century Gothic" w:cs="Century Gothic" w:eastAsia="Century Gothic" w:hAnsi="Century Gothic"/>
        <w:color w:val="457cbf"/>
      </w:rPr>
    </w:pPr>
    <w:r w:rsidDel="00000000" w:rsidR="00000000" w:rsidRPr="00000000">
      <w:rPr>
        <w:rFonts w:ascii="Century Gothic" w:cs="Century Gothic" w:eastAsia="Century Gothic" w:hAnsi="Century Gothic"/>
        <w:color w:val="457cbf"/>
        <w:rtl w:val="0"/>
      </w:rPr>
      <w:t xml:space="preserve">Manager Consultant en Technology IT &amp; Digital Transformation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12202a"/>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457cbf" w:space="1" w:sz="12" w:val="dashed"/>
      </w:pBdr>
      <w:shd w:fill="ffffff" w:val="clear"/>
      <w:tabs>
        <w:tab w:val="left" w:leader="none" w:pos="8720"/>
      </w:tabs>
      <w:spacing w:after="240" w:before="240" w:lineRule="auto"/>
    </w:pPr>
    <w:rPr>
      <w:b w:val="1"/>
      <w:color w:val="7f7f7f"/>
      <w:sz w:val="26"/>
      <w:szCs w:val="26"/>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120" w:lineRule="auto"/>
    </w:pPr>
    <w:rPr>
      <w:rFonts w:ascii="Helvetica Neue" w:cs="Helvetica Neue" w:eastAsia="Helvetica Neue" w:hAnsi="Helvetica Neue"/>
      <w:color w:val="ff0000"/>
      <w:sz w:val="22"/>
      <w:szCs w:val="22"/>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457cbf" w:space="1" w:sz="12" w:val="dashed"/>
      </w:pBdr>
      <w:shd w:fill="ffffff" w:val="clear"/>
      <w:tabs>
        <w:tab w:val="left" w:leader="none" w:pos="8720"/>
      </w:tabs>
      <w:spacing w:after="240" w:before="240" w:lineRule="auto"/>
    </w:pPr>
    <w:rPr>
      <w:b w:val="1"/>
      <w:color w:val="7f7f7f"/>
      <w:sz w:val="26"/>
      <w:szCs w:val="26"/>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120" w:lineRule="auto"/>
    </w:pPr>
    <w:rPr>
      <w:rFonts w:ascii="Helvetica Neue" w:cs="Helvetica Neue" w:eastAsia="Helvetica Neue" w:hAnsi="Helvetica Neue"/>
      <w:color w:val="ff0000"/>
      <w:sz w:val="22"/>
      <w:szCs w:val="22"/>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457cbf" w:space="1" w:sz="12" w:val="dashed"/>
      </w:pBdr>
      <w:shd w:fill="ffffff" w:val="clear"/>
      <w:tabs>
        <w:tab w:val="left" w:leader="none" w:pos="8720"/>
      </w:tabs>
      <w:spacing w:after="240" w:before="240" w:lineRule="auto"/>
    </w:pPr>
    <w:rPr>
      <w:b w:val="1"/>
      <w:color w:val="7f7f7f"/>
      <w:sz w:val="26"/>
      <w:szCs w:val="26"/>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120" w:lineRule="auto"/>
    </w:pPr>
    <w:rPr>
      <w:rFonts w:ascii="Helvetica Neue" w:cs="Helvetica Neue" w:eastAsia="Helvetica Neue" w:hAnsi="Helvetica Neue"/>
      <w:color w:val="ff0000"/>
      <w:sz w:val="22"/>
      <w:szCs w:val="22"/>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457cbf" w:space="1" w:sz="12" w:val="dashed"/>
      </w:pBdr>
      <w:shd w:fill="ffffff" w:val="clear"/>
      <w:tabs>
        <w:tab w:val="left" w:leader="none" w:pos="8720"/>
      </w:tabs>
      <w:spacing w:after="240" w:before="240" w:lineRule="auto"/>
    </w:pPr>
    <w:rPr>
      <w:b w:val="1"/>
      <w:color w:val="7f7f7f"/>
      <w:sz w:val="26"/>
      <w:szCs w:val="26"/>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120" w:lineRule="auto"/>
    </w:pPr>
    <w:rPr>
      <w:rFonts w:ascii="Helvetica Neue" w:cs="Helvetica Neue" w:eastAsia="Helvetica Neue" w:hAnsi="Helvetica Neue"/>
      <w:color w:val="ff0000"/>
      <w:sz w:val="22"/>
      <w:szCs w:val="22"/>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itre1">
    <w:name w:val="heading 1"/>
    <w:basedOn w:val="Normal"/>
    <w:next w:val="Normal"/>
    <w:uiPriority w:val="9"/>
    <w:qFormat w:val="1"/>
    <w:pPr>
      <w:keepNext w:val="1"/>
      <w:keepLines w:val="1"/>
      <w:pBdr>
        <w:bottom w:color="457cbf" w:space="1" w:sz="12" w:val="dashed"/>
      </w:pBdr>
      <w:shd w:color="auto" w:fill="ffffff" w:val="clear"/>
      <w:tabs>
        <w:tab w:val="left" w:pos="8720"/>
      </w:tabs>
      <w:spacing w:after="240" w:before="240"/>
      <w:outlineLvl w:val="0"/>
    </w:pPr>
    <w:rPr>
      <w:b w:val="1"/>
      <w:color w:val="7f7f7f"/>
      <w:sz w:val="26"/>
      <w:szCs w:val="26"/>
    </w:rPr>
  </w:style>
  <w:style w:type="paragraph" w:styleId="Titre2">
    <w:name w:val="heading 2"/>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120"/>
      <w:outlineLvl w:val="1"/>
    </w:pPr>
    <w:rPr>
      <w:rFonts w:ascii="Helvetica Neue" w:cs="Helvetica Neue" w:eastAsia="Helvetica Neue" w:hAnsi="Helvetica Neue"/>
      <w:color w:val="ff0000"/>
      <w:sz w:val="22"/>
      <w:szCs w:val="22"/>
    </w:rPr>
  </w:style>
  <w:style w:type="paragraph" w:styleId="Titre3">
    <w:name w:val="heading 3"/>
    <w:basedOn w:val="Normal"/>
    <w:next w:val="Normal"/>
    <w:uiPriority w:val="9"/>
    <w:semiHidden w:val="1"/>
    <w:unhideWhenUsed w:val="1"/>
    <w:qFormat w:val="1"/>
    <w:pPr>
      <w:keepNext w:val="1"/>
      <w:keepLines w:val="1"/>
      <w:spacing w:before="200"/>
      <w:outlineLvl w:val="2"/>
    </w:pPr>
    <w:rPr>
      <w:rFonts w:ascii="Calibri" w:cs="Calibri" w:eastAsia="Calibri" w:hAnsi="Calibri"/>
      <w:b w:val="1"/>
      <w:color w:val="4f81bd"/>
    </w:rPr>
  </w:style>
  <w:style w:type="paragraph" w:styleId="Titre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itre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itre6">
    <w:name w:val="heading 6"/>
    <w:basedOn w:val="Normal"/>
    <w:next w:val="Normal"/>
    <w:uiPriority w:val="9"/>
    <w:semiHidden w:val="1"/>
    <w:unhideWhenUsed w:val="1"/>
    <w:qFormat w:val="1"/>
    <w:pPr>
      <w:keepNext w:val="1"/>
      <w:keepLines w:val="1"/>
      <w:spacing w:after="40" w:before="200"/>
      <w:outlineLvl w:val="5"/>
    </w:pPr>
    <w:rPr>
      <w:b w:val="1"/>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re">
    <w:name w:val="Title"/>
    <w:basedOn w:val="Normal"/>
    <w:next w:val="Normal"/>
    <w:uiPriority w:val="10"/>
    <w:qFormat w:val="1"/>
    <w:pPr>
      <w:keepNext w:val="1"/>
      <w:keepLines w:val="1"/>
      <w:spacing w:after="120" w:before="480"/>
    </w:pPr>
    <w:rPr>
      <w:b w:val="1"/>
      <w:sz w:val="72"/>
      <w:szCs w:val="72"/>
    </w:rPr>
  </w:style>
  <w:style w:type="paragraph" w:styleId="Sous-titr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left w:w="108.0" w:type="dxa"/>
        <w:right w:w="108.0" w:type="dxa"/>
      </w:tblCellMar>
    </w:tblPr>
  </w:style>
  <w:style w:type="paragraph" w:styleId="Textedebulles">
    <w:name w:val="Balloon Text"/>
    <w:basedOn w:val="Normal"/>
    <w:link w:val="TextedebullesCar"/>
    <w:uiPriority w:val="99"/>
    <w:semiHidden w:val="1"/>
    <w:unhideWhenUsed w:val="1"/>
    <w:rsid w:val="00081090"/>
    <w:rPr>
      <w:rFonts w:ascii="Times New Roman" w:cs="Times New Roman" w:hAnsi="Times New Roman"/>
      <w:sz w:val="18"/>
      <w:szCs w:val="18"/>
    </w:rPr>
  </w:style>
  <w:style w:type="character" w:styleId="TextedebullesCar" w:customStyle="1">
    <w:name w:val="Texte de bulles Car"/>
    <w:basedOn w:val="Policepardfaut"/>
    <w:link w:val="Textedebulles"/>
    <w:uiPriority w:val="99"/>
    <w:semiHidden w:val="1"/>
    <w:rsid w:val="00081090"/>
    <w:rPr>
      <w:rFonts w:ascii="Times New Roman" w:cs="Times New Roman" w:hAnsi="Times New Roman"/>
      <w:sz w:val="18"/>
      <w:szCs w:val="18"/>
    </w:rPr>
  </w:style>
  <w:style w:type="paragraph" w:styleId="paragraph" w:customStyle="1">
    <w:name w:val="paragraph"/>
    <w:basedOn w:val="Normal"/>
    <w:rsid w:val="00815550"/>
    <w:pPr>
      <w:spacing w:after="100" w:afterAutospacing="1" w:before="100" w:beforeAutospacing="1"/>
    </w:pPr>
    <w:rPr>
      <w:rFonts w:ascii="Times New Roman" w:cs="Times New Roman" w:eastAsia="Times New Roman" w:hAnsi="Times New Roman"/>
      <w:color w:val="auto"/>
      <w:sz w:val="24"/>
      <w:szCs w:val="24"/>
    </w:rPr>
  </w:style>
  <w:style w:type="character" w:styleId="normaltextrun" w:customStyle="1">
    <w:name w:val="normaltextrun"/>
    <w:basedOn w:val="Policepardfaut"/>
    <w:rsid w:val="00815550"/>
  </w:style>
  <w:style w:type="character" w:styleId="eop" w:customStyle="1">
    <w:name w:val="eop"/>
    <w:basedOn w:val="Policepardfaut"/>
    <w:rsid w:val="00815550"/>
  </w:style>
  <w:style w:type="paragraph" w:styleId="NormalWeb">
    <w:name w:val="Normal (Web)"/>
    <w:basedOn w:val="Normal"/>
    <w:uiPriority w:val="99"/>
    <w:semiHidden w:val="1"/>
    <w:unhideWhenUsed w:val="1"/>
    <w:rsid w:val="00880308"/>
    <w:pPr>
      <w:spacing w:after="100" w:afterAutospacing="1" w:before="100" w:beforeAutospacing="1"/>
    </w:pPr>
    <w:rPr>
      <w:rFonts w:ascii="Times New Roman" w:cs="Times New Roman" w:eastAsia="Times New Roman" w:hAnsi="Times New Roman"/>
      <w:color w:val="auto"/>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120" w:lineRule="auto"/>
    </w:pPr>
    <w:rPr>
      <w:sz w:val="20"/>
      <w:szCs w:val="20"/>
    </w:rPr>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120" w:lineRule="auto"/>
    </w:pPr>
    <w:rPr>
      <w:sz w:val="20"/>
      <w:szCs w:val="20"/>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120" w:lineRule="auto"/>
    </w:pPr>
    <w:rPr>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G7xX1bd1LNoiVwlqwpi6+UGqCA==">CgMxLjAyCGguZ2pkZ3hzMgloLjMwajB6bGw4AHIhMURGU3F6MUxpQTVjRjhUNkhLUUI5V0U1N3FZZkhZbTRL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2023-03-23T10:02:00Z</dcterms:created>
  <dc:creator/>
  <dc:description/>
  <dc:identifier/>
  <dc:language/>
  <dc:subject/>
  <dc:title/>
</cp:coreProperties>
</file>