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Times New Roman" w:hAnsi="Times New Roman" w:eastAsia="Microsoft JhengHei"/>
          <w:b/>
          <w:i w:val="0"/>
          <w:color w:val="1F4E79"/>
          <w:sz w:val="30"/>
        </w:rPr>
        <w:t>台積電 TSMC (2330.TW / TSM) — 財報後觀點筆記</w:t>
      </w:r>
    </w:p>
    <w:p>
      <w:pPr>
        <w:spacing w:after="40" w:before="0"/>
      </w:pPr>
      <w:r>
        <w:rPr>
          <w:rFonts w:ascii="Times New Roman" w:hAnsi="Times New Roman" w:eastAsia="Microsoft JhengHei"/>
          <w:b w:val="0"/>
          <w:i w:val="0"/>
          <w:color w:val="555555"/>
          <w:sz w:val="18"/>
        </w:rPr>
        <w:t>2026 年第一季 (Q1 2026) | 發布 2026-04-16 | 季末 2026-03-31 | 觀點筆記 (Post-Earnings Note)</w:t>
      </w:r>
    </w:p>
    <w:p>
      <w:pPr>
        <w:spacing w:after="160" w:before="0"/>
      </w:pPr>
      <w:r>
        <w:rPr>
          <w:rFonts w:ascii="Times New Roman" w:hAnsi="Times New Roman" w:eastAsia="Microsoft JhengHei"/>
          <w:b w:val="0"/>
          <w:i/>
          <w:color w:val="555555"/>
          <w:sz w:val="18"/>
        </w:rPr>
        <w:t>實際 vs. 市場預期 vs. 前次指引｜評等與目標價未由本筆記設定；數字未經獨立查核請見來源</w:t>
      </w:r>
    </w:p>
    <w:p>
      <w:pPr>
        <w:spacing w:after="80" w:before="80"/>
      </w:pPr>
      <w:r>
        <w:rPr>
          <w:rFonts w:ascii="Times New Roman" w:hAnsi="Times New Roman" w:eastAsia="Microsoft JhengHei"/>
          <w:b/>
          <w:i w:val="0"/>
          <w:color w:val="1F4E79"/>
          <w:sz w:val="25"/>
        </w:rPr>
        <w:t>一、結論摘要 (Beat-and-Raise，但股價「利多出盡」)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台積電 Q1'26 繳出乾淨的「超預期 + 上修」(beat-and-raise)：營收 US$35.90bn(+40.6% YoY)高於前次指引上緣;毛利率 66.2% 大幅優於 63–65% 指引(超出上緣約 120bps);稀釋 EPS NT$22.08(+58% YoY)勝市場預期約 6%。Q2'26 指引中點 US$39.6bn 亦高於市場預期約 4%,全年維持「US$ 營收成長逾 30%」,並上調長期毛利率底線至「56% 以上」。</w:t>
      </w:r>
    </w:p>
    <w:p>
      <w:pPr>
        <w:spacing w:after="12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然而 ADR 於財報後一個交易日仍下跌約 3%——關鍵不在獲利,而在資本支出:2026 capex 指引偏向 US$52–56bn 高端(創高),引發短期自由現金流/資本密集度疑慮;加上股價於財報前已較一年前漲約 1 倍、逼近 52 週高點,形成典型「利多出盡」格局。</w:t>
      </w:r>
    </w:p>
    <w:p>
      <w:pPr>
        <w:spacing w:after="80" w:before="0"/>
      </w:pPr>
      <w:r>
        <w:rPr>
          <w:rFonts w:ascii="Times New Roman" w:hAnsi="Times New Roman" w:eastAsia="Microsoft JhengHei"/>
          <w:b/>
          <w:i w:val="0"/>
          <w:color w:val="1F4E79"/>
          <w:sz w:val="25"/>
        </w:rPr>
        <w:t>二、實際 vs. 市場預期 vs. 前次指引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前次指引 (Jan'26)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市場預期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實際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實際 vs 指引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實際 vs 預期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營收 (US$bn)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34.6–35.8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35.5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35.90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高於上緣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+1.1%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毛利率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63–65%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~64%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66.2%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+~120bps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+~220bps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營業利益率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58.1%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高於指引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EPS (NT$)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(無指引)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20.88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22.08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+5.7%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EPS/ADR (US$)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3.26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3.49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+7.1%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淨利 (NT$bn)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572.48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+58% YoY</w:t>
            </w:r>
          </w:p>
        </w:tc>
      </w:tr>
    </w:tbl>
    <w:p>
      <w:pPr>
        <w:spacing w:after="120" w:before="4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資料:TSMC 6-K &amp; Q1'26 法說會(2026-04-16);前次指引出自 Q4'25 財報(2026-01-15);consensus 為第三方彙整,發布前請以 FactSet/Bloomberg 校正。</w:t>
      </w:r>
    </w:p>
    <w:p>
      <w:pPr>
        <w:spacing w:after="12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Q2'26 指引同樣優於預期:營收指引 US$39.0–40.2bn(中點 39.6)vs 市場約 38.1 → 高約 4%;毛利率指引 65.5–67.5%。</w:t>
      </w:r>
    </w:p>
    <w:p>
      <w:pPr>
        <w:spacing w:after="80" w:before="0"/>
      </w:pPr>
      <w:r>
        <w:rPr>
          <w:rFonts w:ascii="Times New Roman" w:hAnsi="Times New Roman" w:eastAsia="Microsoft JhengHei"/>
          <w:b/>
          <w:i w:val="0"/>
          <w:color w:val="1F4E79"/>
          <w:sz w:val="25"/>
        </w:rPr>
        <w:t>三、法說會重點 (Earnings Call Highlights)</w:t>
      </w:r>
    </w:p>
    <w:p>
      <w:pPr>
        <w:spacing w:after="60"/>
        <w:ind w:left="20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▍AI/HPC 需求  </w:t>
      </w:r>
      <w:r>
        <w:rPr>
          <w:rFonts w:ascii="Times New Roman" w:hAnsi="Times New Roman" w:eastAsia="Microsoft JhengHei"/>
          <w:color w:val="111111"/>
          <w:sz w:val="21"/>
        </w:rPr>
        <w:t>CEO 魏哲家:AI 需求「持續強勁」,並從生成式 AI 轉向「代理式 AI(agentic)與 command-and-action」,運算需求更大;駁斥泡沫論但強調紀律投資。HPC 佔營收 61%。</w:t>
      </w:r>
    </w:p>
    <w:p>
      <w:pPr>
        <w:spacing w:after="60"/>
        <w:ind w:left="20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▍N2 (2nm) 進度  </w:t>
      </w:r>
      <w:r>
        <w:rPr>
          <w:rFonts w:ascii="Times New Roman" w:hAnsi="Times New Roman" w:eastAsia="Microsoft JhengHei"/>
          <w:color w:val="111111"/>
          <w:sz w:val="21"/>
        </w:rPr>
        <w:t>Q4'25 已進入量產且良率良好,於新竹與高雄分階段擴產,約 2026 年 3 月起貢獻營收;尚未單獨拆分佔比。</w:t>
      </w:r>
    </w:p>
    <w:p>
      <w:pPr>
        <w:spacing w:after="60"/>
        <w:ind w:left="20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▍毛利率展望  </w:t>
      </w:r>
      <w:r>
        <w:rPr>
          <w:rFonts w:ascii="Times New Roman" w:hAnsi="Times New Roman" w:eastAsia="Microsoft JhengHei"/>
          <w:color w:val="111111"/>
          <w:sz w:val="21"/>
        </w:rPr>
        <w:t>Q1 受惠高稼動率、成本改善、有利匯率;但明示 H2'26 起 N2 量產 + 海外廠將稀釋毛利率,全年稀釋約 2–3%(海外早期 2–3%、後期擴大至 3–4%)。N3 預計 H2'26 達公司平均毛利率。</w:t>
      </w:r>
    </w:p>
    <w:p>
      <w:pPr>
        <w:spacing w:after="60"/>
        <w:ind w:left="20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▍資本支出  </w:t>
      </w:r>
      <w:r>
        <w:rPr>
          <w:rFonts w:ascii="Times New Roman" w:hAnsi="Times New Roman" w:eastAsia="Microsoft JhengHei"/>
          <w:color w:val="111111"/>
          <w:sz w:val="21"/>
        </w:rPr>
        <w:t>2026 capex 指引偏 US$52–56bn 高端(創高),約 70–80% 投先進製程、其餘為先進封裝(含 CoWoS)與特殊製程——市場負面反應主因。</w:t>
      </w:r>
    </w:p>
    <w:p>
      <w:pPr>
        <w:spacing w:after="60"/>
        <w:ind w:left="20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▍海外布局  </w:t>
      </w:r>
      <w:r>
        <w:rPr>
          <w:rFonts w:ascii="Times New Roman" w:hAnsi="Times New Roman" w:eastAsia="Microsoft JhengHei"/>
          <w:color w:val="111111"/>
          <w:sz w:val="21"/>
        </w:rPr>
        <w:t>亞利桑那二廠(3nm)2027 H2 量產、三廠興建中;日本二廠 2028;台南新 3nm 廠 2027 H1。</w:t>
      </w:r>
    </w:p>
    <w:p>
      <w:pPr>
        <w:spacing w:after="60"/>
        <w:ind w:left="20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▍長期目標上修  </w:t>
      </w:r>
      <w:r>
        <w:rPr>
          <w:rFonts w:ascii="Times New Roman" w:hAnsi="Times New Roman" w:eastAsia="Microsoft JhengHei"/>
          <w:color w:val="111111"/>
          <w:sz w:val="21"/>
        </w:rPr>
        <w:t>長期毛利率底線上調至「56% 以上 through the cycle」;長期 AI 加速器營收 CAGR 上調至 ~54–56%(至 2029)。</w:t>
      </w:r>
    </w:p>
    <w:p>
      <w:pPr>
        <w:spacing w:after="60"/>
        <w:ind w:left="200"/>
      </w:pPr>
      <w:r>
        <w:rPr>
          <w:rFonts w:ascii="Times New Roman" w:hAnsi="Times New Roman" w:eastAsia="Microsoft JhengHei"/>
          <w:b/>
          <w:color w:val="1F4E79"/>
          <w:sz w:val="21"/>
        </w:rPr>
        <w:t xml:space="preserve">▍成本/地緣  </w:t>
      </w:r>
      <w:r>
        <w:rPr>
          <w:rFonts w:ascii="Times New Roman" w:hAnsi="Times New Roman" w:eastAsia="Microsoft JhengHei"/>
          <w:color w:val="111111"/>
          <w:sz w:val="21"/>
        </w:rPr>
        <w:t>示警零組件漲價(消費性敏感);中東地緣推升製程用化學品與氣體價格。Q2 指引匯率假設 USD/TWD = 31.7。</w:t>
      </w:r>
    </w:p>
    <w:p>
      <w:pPr>
        <w:spacing w:after="80" w:before="80"/>
      </w:pPr>
      <w:r>
        <w:rPr>
          <w:rFonts w:ascii="Times New Roman" w:hAnsi="Times New Roman" w:eastAsia="Microsoft JhengHei"/>
          <w:b/>
          <w:i w:val="0"/>
          <w:color w:val="1F4E79"/>
          <w:sz w:val="25"/>
        </w:rPr>
        <w:t>四、模型更新摘要 (Estimate Refresh)</w:t>
      </w:r>
    </w:p>
    <w:p>
      <w:pPr>
        <w:spacing w:after="6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已新建 TSMC 季度估計模型(工作區先前無台積電模型),以 Q1'26 實際 + Q2'26 指引為錨,H2'26 為標記清楚的估計: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US$ / NT$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Q1'26A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Q2'26E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Q3'26E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Q4'26E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/>
                <w:color w:val="FFFFFF"/>
                <w:sz w:val="18"/>
              </w:rPr>
              <w:t>FY2026E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營收 (US$bn)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35.90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39.60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42.77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45.33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163.6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YoY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+40.6%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~+32%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+31.9%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毛利率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66.2%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66.5%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65.5%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65.0%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65.8%</w:t>
            </w:r>
          </w:p>
        </w:tc>
      </w:tr>
      <w:tr>
        <w:tc>
          <w:tcPr>
            <w:tcW w:type="dxa" w:w="14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Microsoft JhengHei"/>
                <w:b/>
                <w:color w:val="111111"/>
                <w:sz w:val="18"/>
              </w:rPr>
              <w:t>EPS (NT$)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22.08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23.97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25.62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26.88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Microsoft JhengHei"/>
                <w:b w:val="0"/>
                <w:color w:val="111111"/>
                <w:sz w:val="18"/>
              </w:rPr>
              <w:t>98.6</w:t>
            </w:r>
          </w:p>
        </w:tc>
      </w:tr>
    </w:tbl>
    <w:p>
      <w:pPr>
        <w:spacing w:after="120" w:before="4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假設:Q3/Q4 營收 +8%/+6% QoQ;H2 毛利率反映 N2+海外稀釋;匯率 31.7;股數 25.93bn(1 ADR=5 股)。FY2025 基數 ~US$124bn 為近似值,須以官方數字校正。檔案:out/TSMC_Q1-2026_Model.xlsx(3 分頁,含變異表與來源)。</w:t>
      </w:r>
    </w:p>
    <w:p>
      <w:pPr>
        <w:spacing w:after="80" w:before="0"/>
      </w:pPr>
      <w:r>
        <w:rPr>
          <w:rFonts w:ascii="Times New Roman" w:hAnsi="Times New Roman" w:eastAsia="Microsoft JhengHei"/>
          <w:b/>
          <w:i w:val="0"/>
          <w:color w:val="1F4E79"/>
          <w:sz w:val="25"/>
        </w:rPr>
        <w:t>五、觀點與風險 (View &amp; Risks)</w:t>
      </w:r>
    </w:p>
    <w:p>
      <w:pPr>
        <w:spacing w:after="6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多方:AI/HPC 需求廣化(生成式 → 代理式),先進節點佔晶圓營收 74%,毛利率結構性走強(長期底線上調至 56%+),N3 H2'26 轉正貢獻,定價權與規模優勢延續;Q2 指引續優。</w:t>
      </w:r>
    </w:p>
    <w:p>
      <w:pPr>
        <w:spacing w:after="80" w:before="0"/>
      </w:pPr>
      <w:r>
        <w:rPr>
          <w:rFonts w:ascii="Times New Roman" w:hAnsi="Times New Roman" w:eastAsia="Microsoft JhengHei"/>
          <w:b w:val="0"/>
          <w:i w:val="0"/>
          <w:color w:val="111111"/>
          <w:sz w:val="21"/>
        </w:rPr>
        <w:t>空方/觀察:① capex 偏高端壓抑近期 FCF(本季股價負反應主因);② N2 量產 H2 起稀釋全年毛利率 ~2–3%;③ 海外廠稀釋 2–3%→後期 3–4%;④ 強勢台幣對 US$ 報表/ADR 為結構性逆風(本季雖為順風);⑤ 客戶庫存、手機復甦、地緣與關稅不確定。</w:t>
      </w:r>
    </w:p>
    <w:p>
      <w:pPr>
        <w:spacing w:after="160" w:before="0"/>
      </w:pPr>
      <w:r>
        <w:rPr>
          <w:rFonts w:ascii="Times New Roman" w:hAnsi="Times New Roman" w:eastAsia="Microsoft JhengHei"/>
          <w:b/>
          <w:i w:val="0"/>
          <w:color w:val="111111"/>
          <w:sz w:val="21"/>
        </w:rPr>
        <w:t>淨評:基本面強勁且長期目標上修,屬高品質持有;但股價已反映高度樂觀,短期催化偏向 capex/FCF 與 H2 毛利率稀釋節奏。建議把觀察重心放在『N2 放量曲線 vs. 稀釋幅度』與『資本密集度何時見頂』。</w:t>
      </w:r>
    </w:p>
    <w:p>
      <w:pPr>
        <w:spacing w:after="60" w:before="0"/>
      </w:pPr>
      <w:r>
        <w:rPr>
          <w:rFonts w:ascii="Times New Roman" w:hAnsi="Times New Roman" w:eastAsia="Microsoft JhengHei"/>
          <w:b/>
          <w:i w:val="0"/>
          <w:color w:val="1F4E79"/>
          <w:sz w:val="23"/>
        </w:rPr>
        <w:t>來源 (Sources)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TSMC 6-K 新聞稿「TSMC Reports First Quarter EPS of NT$22.08」(2026-04-16) — pr.tsmc.com/english/news/3297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TSMC Q1 2026 法說會 transcript — investing.com(Q1'26 earnings call transcript)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TSMC Q4'25 結果 / Q1'26 前次指引(2026-01-15) — investor.tsmc.com/english/quarterly-results/2025/q4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Manufacturing Dive、DataCenterDynamics(結果/指引/capex/評論)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Tickeron、TipRanks(consensus ~US$35.5bn、EPS US$3.26/NT$20.88、股價反應)</w:t>
      </w:r>
    </w:p>
    <w:p>
      <w:pPr>
        <w:spacing w:after="40"/>
        <w:ind w:left="200"/>
      </w:pPr>
      <w:r>
        <w:rPr>
          <w:rFonts w:ascii="Times New Roman" w:hAnsi="Times New Roman" w:eastAsia="Microsoft JhengHei"/>
          <w:color w:val="555555"/>
          <w:sz w:val="17"/>
        </w:rPr>
        <w:t>• BofA 目標價 NT$2,360→2,530(維持 Buy)— 第三方彙整,須查核</w:t>
      </w:r>
    </w:p>
    <w:p>
      <w:pPr>
        <w:spacing w:after="80" w:before="80"/>
      </w:pPr>
      <w:r>
        <w:rPr>
          <w:rFonts w:ascii="Times New Roman" w:hAnsi="Times New Roman" w:eastAsia="Microsoft JhengHei"/>
          <w:b w:val="0"/>
          <w:i/>
          <w:color w:val="555555"/>
          <w:sz w:val="16"/>
        </w:rPr>
        <w:t>免責:本筆記彙整自公開資訊與第三方來源,僅供內部研究參考,不構成投資建議。consensus、股價反應與目標價發布前請以 FactSet/Bloomberg 校正;FY2025 基數與地區別營收待官方數字補正。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