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Times New Roman" w:hAnsi="Times New Roman" w:eastAsia="Microsoft JhengHei"/>
          <w:b/>
          <w:i w:val="0"/>
          <w:color w:val="1F4E79"/>
          <w:sz w:val="18"/>
        </w:rPr>
        <w:t>股票研究 · 財報更新 EQUITY RESEARCH — EARNINGS UPDATE</w:t>
      </w:r>
    </w:p>
    <w:p>
      <w:pPr>
        <w:spacing w:after="20" w:before="0"/>
      </w:pPr>
      <w:r>
        <w:rPr>
          <w:rFonts w:ascii="Times New Roman" w:hAnsi="Times New Roman" w:eastAsia="Microsoft JhengHei"/>
          <w:b/>
          <w:i w:val="0"/>
          <w:color w:val="1F4E79"/>
          <w:sz w:val="36"/>
        </w:rPr>
        <w:t>台積電 TSMC（2330.TW / NYSE: TSM）</w:t>
      </w:r>
    </w:p>
    <w:p>
      <w:pPr>
        <w:spacing w:after="120" w:before="0"/>
      </w:pPr>
      <w:r>
        <w:rPr>
          <w:rFonts w:ascii="Times New Roman" w:hAnsi="Times New Roman" w:eastAsia="Microsoft JhengHei"/>
          <w:b w:val="0"/>
          <w:i w:val="0"/>
          <w:color w:val="555555"/>
          <w:sz w:val="20"/>
        </w:rPr>
        <w:t>2026 年第一季財報更新｜發布 2026-04-16｜季末 2026-03-31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AF1F8"/>
          </w:tcPr>
          <w:p>
            <w:pPr>
              <w:jc w:val="center"/>
            </w:pPr>
            <w:r/>
            <w:r>
              <w:rPr>
                <w:rFonts w:ascii="Times New Roman" w:hAnsi="Times New Roman" w:eastAsia="Microsoft JhengHei"/>
                <w:color w:val="555555"/>
                <w:sz w:val="16"/>
              </w:rPr>
              <w:t>本報告觀點</w:t>
              <w:br/>
            </w:r>
            <w:r>
              <w:rPr>
                <w:rFonts w:ascii="Times New Roman" w:hAnsi="Times New Roman" w:eastAsia="Microsoft JhengHei"/>
                <w:b/>
                <w:color w:val="1F4E79"/>
                <w:sz w:val="19"/>
              </w:rPr>
              <w:t>中性偏多 (Hold-plus)</w:t>
            </w:r>
          </w:p>
        </w:tc>
        <w:tc>
          <w:tcPr>
            <w:tcW w:type="dxa" w:w="2484"/>
            <w:shd w:val="clear" w:fill="EAF1F8"/>
          </w:tcPr>
          <w:p>
            <w:pPr>
              <w:jc w:val="center"/>
            </w:pPr>
            <w:r/>
            <w:r>
              <w:rPr>
                <w:rFonts w:ascii="Times New Roman" w:hAnsi="Times New Roman" w:eastAsia="Microsoft JhengHei"/>
                <w:color w:val="555555"/>
                <w:sz w:val="16"/>
              </w:rPr>
              <w:t>外部目標價參考</w:t>
              <w:br/>
            </w:r>
            <w:r>
              <w:rPr>
                <w:rFonts w:ascii="Times New Roman" w:hAnsi="Times New Roman" w:eastAsia="Microsoft JhengHei"/>
                <w:b/>
                <w:color w:val="1F4E79"/>
                <w:sz w:val="19"/>
              </w:rPr>
              <w:t>BofA NT$2,530 (Buy)</w:t>
            </w:r>
          </w:p>
        </w:tc>
        <w:tc>
          <w:tcPr>
            <w:tcW w:type="dxa" w:w="2484"/>
            <w:shd w:val="clear" w:fill="EAF1F8"/>
          </w:tcPr>
          <w:p>
            <w:pPr>
              <w:jc w:val="center"/>
            </w:pPr>
            <w:r/>
            <w:r>
              <w:rPr>
                <w:rFonts w:ascii="Times New Roman" w:hAnsi="Times New Roman" w:eastAsia="Microsoft JhengHei"/>
                <w:color w:val="555555"/>
                <w:sz w:val="16"/>
              </w:rPr>
              <w:t>Q1'26 EPS</w:t>
              <w:br/>
            </w:r>
            <w:r>
              <w:rPr>
                <w:rFonts w:ascii="Times New Roman" w:hAnsi="Times New Roman" w:eastAsia="Microsoft JhengHei"/>
                <w:b/>
                <w:color w:val="1F4E79"/>
                <w:sz w:val="19"/>
              </w:rPr>
              <w:t>NT$22.08 (+58% YoY)</w:t>
            </w:r>
          </w:p>
        </w:tc>
        <w:tc>
          <w:tcPr>
            <w:tcW w:type="dxa" w:w="2484"/>
            <w:shd w:val="clear" w:fill="EAF1F8"/>
          </w:tcPr>
          <w:p>
            <w:pPr>
              <w:jc w:val="center"/>
            </w:pPr>
            <w:r/>
            <w:r>
              <w:rPr>
                <w:rFonts w:ascii="Times New Roman" w:hAnsi="Times New Roman" w:eastAsia="Microsoft JhengHei"/>
                <w:color w:val="555555"/>
                <w:sz w:val="16"/>
              </w:rPr>
              <w:t>結果</w:t>
              <w:br/>
            </w:r>
            <w:r>
              <w:rPr>
                <w:rFonts w:ascii="Times New Roman" w:hAnsi="Times New Roman" w:eastAsia="Microsoft JhengHei"/>
                <w:b/>
                <w:color w:val="1F4E79"/>
                <w:sz w:val="19"/>
              </w:rPr>
              <w:t>Beat-and-Raise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8"/>
        </w:rPr>
      </w:r>
    </w:p>
    <w:p>
      <w:pPr>
        <w:spacing w:after="80" w:before="8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投資要點 (Key Takeaways)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▍乾淨超預期  </w:t>
      </w:r>
      <w:r>
        <w:rPr>
          <w:rFonts w:ascii="Times New Roman" w:hAnsi="Times New Roman" w:eastAsia="Microsoft JhengHei"/>
          <w:color w:val="111111"/>
          <w:sz w:val="21"/>
        </w:rPr>
        <w:t>營收 US$35.90bn(+40.6% YoY)高於前次指引上緣;毛利率 66.2% 超 63–65% 指引上緣約 120bps;EPS NT$22.08 勝市場約 6%。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▍指引續優  </w:t>
      </w:r>
      <w:r>
        <w:rPr>
          <w:rFonts w:ascii="Times New Roman" w:hAnsi="Times New Roman" w:eastAsia="Microsoft JhengHei"/>
          <w:color w:val="111111"/>
          <w:sz w:val="21"/>
        </w:rPr>
        <w:t>Q2'26 營收指引中點 US$39.6bn 高於市場約 4%;全年維持「US$ 營收 &gt;30%」,長期毛利率底線上調至 56%+。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▍但股價利多出盡  </w:t>
      </w:r>
      <w:r>
        <w:rPr>
          <w:rFonts w:ascii="Times New Roman" w:hAnsi="Times New Roman" w:eastAsia="Microsoft JhengHei"/>
          <w:color w:val="111111"/>
          <w:sz w:val="21"/>
        </w:rPr>
        <w:t>ADR 財報後一日仍跌約 3%——主因 2026 capex 指引偏 US$52–56bn 高端(創高)引發 FCF 疑慮,股價又已逼近 52 週高點。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▍觀察重心  </w:t>
      </w:r>
      <w:r>
        <w:rPr>
          <w:rFonts w:ascii="Times New Roman" w:hAnsi="Times New Roman" w:eastAsia="Microsoft JhengHei"/>
          <w:color w:val="111111"/>
          <w:sz w:val="21"/>
        </w:rPr>
        <w:t>N2 放量曲線 vs. 毛利率稀釋(H2 起 N2+海外廠全年稀釋約 2–3%);資本密集度何時見頂。</w:t>
      </w:r>
    </w:p>
    <w:p>
      <w:pPr>
        <w:spacing w:after="80" w:before="4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資料:TSMC 6-K &amp; Q1'26 法說會(2026-04-16);前次指引出自 Q4'25 財報(2026-01-15);consensus 為第三方彙整,發布前請以 FactSet/Bloomberg 校正。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26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2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圖1:季度營收(US$bn)— Q1'26 實際、Q2'26 指引、H2'26 估計</w:t>
      </w:r>
    </w:p>
    <w:p>
      <w:r>
        <w:br w:type="page"/>
      </w:r>
    </w:p>
    <w:p>
      <w:pPr>
        <w:spacing w:after="80" w:before="16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一、Q1'26 業績詳析:全面優於預期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台積電 Q1'26 在淡季繳出全面超預期成績。營收 US$35.90bn,季增 6.4%、年增 40.6%(以新台幣計 NT$1,134.10bn,年增 35.1%);新台幣與美元成長率差異來自匯率。獲利端更亮眼:毛利率 66.2%(季增 390bps、年增 740bps),營業利益率 58.1%,淨利率 50.5%,淨利 NT$572.48bn(+58.3% YoY),稀釋 EPS NT$22.08、每 ADR US$3.49。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相對市場預期:營收勝約 1.1%、EPS 勝約 5.7%、毛利率勝指引上緣約 120bps。毛利率驅動為高稼動率、成本改善、有利匯率與技術組合。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98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atmi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圖2:Q1'26 實際 vs. 市場預期 vs. 前次指引(營收與 EPS)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68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圖3:季度 EPS(NT$)— Q1'26 NT$22.08,年增 58%</w:t>
      </w:r>
    </w:p>
    <w:p>
      <w:pPr>
        <w:spacing w:after="60" w:before="120"/>
      </w:pPr>
      <w:r>
        <w:rPr>
          <w:rFonts w:ascii="Times New Roman" w:hAnsi="Times New Roman" w:eastAsia="Microsoft JhengHei"/>
          <w:b/>
          <w:i w:val="0"/>
          <w:color w:val="1F4E79"/>
          <w:sz w:val="22"/>
        </w:rPr>
        <w:t>表1:Q1'26 損益摘要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484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Q1'26 實際</w:t>
            </w:r>
          </w:p>
        </w:tc>
        <w:tc>
          <w:tcPr>
            <w:tcW w:type="dxa" w:w="2484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2484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QoQ</w:t>
            </w:r>
          </w:p>
        </w:tc>
      </w:tr>
      <w:tr>
        <w:tc>
          <w:tcPr>
            <w:tcW w:type="dxa" w:w="24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營收 (US$bn)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35.90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+40.6%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+6.4%</w:t>
            </w:r>
          </w:p>
        </w:tc>
      </w:tr>
      <w:tr>
        <w:tc>
          <w:tcPr>
            <w:tcW w:type="dxa" w:w="24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營收 (NT$bn)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1,134.10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+35.1%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+8.4%</w:t>
            </w:r>
          </w:p>
        </w:tc>
      </w:tr>
      <w:tr>
        <w:tc>
          <w:tcPr>
            <w:tcW w:type="dxa" w:w="24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毛利率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66.2%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+740bps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+390bps</w:t>
            </w:r>
          </w:p>
        </w:tc>
      </w:tr>
      <w:tr>
        <w:tc>
          <w:tcPr>
            <w:tcW w:type="dxa" w:w="24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營業利益率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58.1%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淨利 (NT$bn)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572.48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+58.3%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+13.2%</w:t>
            </w:r>
          </w:p>
        </w:tc>
      </w:tr>
      <w:tr>
        <w:tc>
          <w:tcPr>
            <w:tcW w:type="dxa" w:w="24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EPS (NT$)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22.08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+58.3%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EPS/ADR (US$)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3.49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24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</w:tr>
    </w:tbl>
    <w:p>
      <w:pPr>
        <w:spacing w:after="80" w:before="4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資料:TSMC Q1'26 6-K 新聞稿(2026-04-16)。</w:t>
      </w:r>
    </w:p>
    <w:p>
      <w:r>
        <w:br w:type="page"/>
      </w:r>
    </w:p>
    <w:p>
      <w:pPr>
        <w:spacing w:after="80" w:before="16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二、營收組合:AI/HPC 主導,先進製程佔 74%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平台別,HPC 佔營收 61%、智慧型手機 26%、IoT 6%、車用 4%、DCE 1%、其他 2%——HPC 佔比續創高,反映 AI/資料中心需求主導的結構轉變。技術節點,3nm 佔晶圓營收 25%、5nm 36%、7nm 13%,先進製程(≤7nm)合計達 74%。N2(2nm)Q4'25 量產、3 月起開始貢獻,尚未單獨拆分。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986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t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8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圖4:Q1'26 平台別營收 — HPC 61% 主導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93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圖5:Q1'26 技術節點別 — 先進製程(≤7nm)佔 74%</w:t>
      </w:r>
    </w:p>
    <w:p>
      <w:r>
        <w:br w:type="page"/>
      </w:r>
    </w:p>
    <w:p>
      <w:pPr>
        <w:spacing w:after="80" w:before="16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三、毛利率與獲利能力:結構走強,但 H2 面臨稀釋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毛利率 66.2% 大幅優於指引,連續第八季成長動能延續,獲益於稼動率、成本改善與匯率順風。惟管理層明示下半年起 N2 量產與海外廠擴張將稀釋毛利率,全年稀釋約 2–3%(海外早期 2–3%、後期擴大至 3–4%);N3 預計 H2'26 達公司平均毛利率。我們因此在模型中對 H2 毛利率採保守假設(Q3 65.5%、Q4 65.0%)。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684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ossmar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圖6:季度毛利率 — Q1'26 66.2% 超指引上緣約 120bps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69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mwal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圖7:FY26E 毛利率走勢(示意)— H2 N2 與海外廠稀釋</w:t>
      </w:r>
    </w:p>
    <w:p>
      <w:r>
        <w:br w:type="page"/>
      </w:r>
    </w:p>
    <w:p>
      <w:pPr>
        <w:spacing w:after="80" w:before="16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四、指引與展望:Q2 續優,全年 &gt;30%,資本支出創高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Q2'26 指引:營收 US$39.0–40.2bn(中點季增約 10%、年增約 32%),高於市場預期約 4%;毛利率 65.5–67.5%、營業利益率 56.5–58.5%;匯率假設 USD/TWD 31.7。全年:維持「US$ 營收成長逾 30%」(AI 驅動);2026 資本支出偏 US$52–56bn 高端(創高),約 70–80% 投先進製程,其餘為先進封裝(含 CoWoS)與特殊製程;長期 AI 加速器營收 CAGR 上調至 ~54–56%(至 2029)。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72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2gu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圖8:Q2'26 營收指引較市場預期高約 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345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yreven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4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圖9:全年營收與成長 — FY26E '&gt;30%'(AI 驅動)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684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p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圖10:2026 資本支出 US$52–56bn 高端 — 本季股價負反應主因</w:t>
      </w:r>
    </w:p>
    <w:p>
      <w:r>
        <w:br w:type="page"/>
      </w:r>
    </w:p>
    <w:p>
      <w:pPr>
        <w:spacing w:after="80" w:before="16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五、投資論點更新 (Thesis)</w:t>
      </w:r>
    </w:p>
    <w:p>
      <w:pPr>
        <w:spacing w:after="6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多方:AI/HPC 需求廣化(生成式 → 代理式 agentic,運算需求更大),先進製程佔晶圓營收 74%,毛利率結構性走強且長期底線上調至 56%+,N3 H2'26 轉正貢獻,定價權與規模優勢延續,Q2 指引續優。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空方/觀察:① capex 偏高端壓抑近期 FCF(本季股價負反應主因);② N2 量產 H2 起全年稀釋毛利率約 2–3%;③ 海外廠稀釋 2–3%→後期 3–4%;④ 強勢台幣對美元報表/ADR 為結構性逆風(本季雖為順風);⑤ 客戶庫存、手機復甦、地緣與關稅不確定。</w:t>
      </w:r>
    </w:p>
    <w:p>
      <w:pPr>
        <w:spacing w:after="120" w:before="0"/>
      </w:pPr>
      <w:r>
        <w:rPr>
          <w:rFonts w:ascii="Times New Roman" w:hAnsi="Times New Roman" w:eastAsia="Microsoft JhengHei"/>
          <w:b/>
          <w:i w:val="0"/>
          <w:color w:val="111111"/>
          <w:sz w:val="21"/>
        </w:rPr>
        <w:t>淨評:基本面強勁且長期目標上修,屬高品質持有(中性偏多)。短期催化偏向 capex/FCF 與 H2 毛利率稀釋節奏;建議把觀察重心放在『N2 放量曲線 vs. 稀釋幅度』與『資本密集度何時見頂』。</w:t>
      </w:r>
    </w:p>
    <w:p>
      <w:pPr>
        <w:spacing w:after="80" w:before="8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六、預估摘要與估值</w:t>
      </w:r>
    </w:p>
    <w:p>
      <w:pPr>
        <w:spacing w:after="6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已新建 TSMC 季度估計模型(工作區先前無台積電模型),以 Q1'26 實際 + Q2'26 指引為錨,H2'26 為估計: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656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Q1'26A</w:t>
            </w:r>
          </w:p>
        </w:tc>
        <w:tc>
          <w:tcPr>
            <w:tcW w:type="dxa" w:w="1656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Q2'26E</w:t>
            </w:r>
          </w:p>
        </w:tc>
        <w:tc>
          <w:tcPr>
            <w:tcW w:type="dxa" w:w="1656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Q3'26E</w:t>
            </w:r>
          </w:p>
        </w:tc>
        <w:tc>
          <w:tcPr>
            <w:tcW w:type="dxa" w:w="1656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Q4'26E</w:t>
            </w:r>
          </w:p>
        </w:tc>
        <w:tc>
          <w:tcPr>
            <w:tcW w:type="dxa" w:w="1656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FY2026E</w:t>
            </w:r>
          </w:p>
        </w:tc>
      </w:tr>
      <w:tr>
        <w:tc>
          <w:tcPr>
            <w:tcW w:type="dxa" w:w="16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營收 (US$bn)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35.90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39.60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42.77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45.33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163.6</w:t>
            </w:r>
          </w:p>
        </w:tc>
      </w:tr>
      <w:tr>
        <w:tc>
          <w:tcPr>
            <w:tcW w:type="dxa" w:w="16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YoY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+40.6%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~+32%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+31.9%</w:t>
            </w:r>
          </w:p>
        </w:tc>
      </w:tr>
      <w:tr>
        <w:tc>
          <w:tcPr>
            <w:tcW w:type="dxa" w:w="16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毛利率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66.2%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66.5%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65.5%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65.0%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65.8%</w:t>
            </w:r>
          </w:p>
        </w:tc>
      </w:tr>
      <w:tr>
        <w:tc>
          <w:tcPr>
            <w:tcW w:type="dxa" w:w="16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營業利益率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58.1%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57.5%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56.8%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56.3%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57.0%</w:t>
            </w:r>
          </w:p>
        </w:tc>
      </w:tr>
      <w:tr>
        <w:tc>
          <w:tcPr>
            <w:tcW w:type="dxa" w:w="16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EPS (NT$)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22.08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23.97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25.62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26.88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98.6</w:t>
            </w:r>
          </w:p>
        </w:tc>
      </w:tr>
    </w:tbl>
    <w:p>
      <w:pPr>
        <w:spacing w:after="80" w:before="4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假設:Q3/Q4 營收 +8%/+6% QoQ;H2 毛利率反映 N2+海外稀釋;匯率 31.7;股數 25.93bn(1 ADR=5 股);FY2025 基數 ~US$124bn 為近似值。完整估值另以 DCF + 同業 comps 交付(見隨附 Excel)。</w:t>
      </w:r>
    </w:p>
    <w:p>
      <w:r>
        <w:br w:type="page"/>
      </w:r>
    </w:p>
    <w:p>
      <w:pPr>
        <w:spacing w:after="80" w:before="160"/>
      </w:pPr>
      <w:r>
        <w:rPr>
          <w:rFonts w:ascii="Times New Roman" w:hAnsi="Times New Roman" w:eastAsia="Microsoft JhengHei"/>
          <w:b/>
          <w:i w:val="0"/>
          <w:color w:val="1F4E79"/>
          <w:sz w:val="26"/>
        </w:rPr>
        <w:t>附錄:估值 (Valuation Appendix — DCF + Comps)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我們以美元 DCF(承接季度模型 FY26E 營收 US$163.6bn,顯性期 FY27–31,期中折現,淨現金回加)估值。WACC 9.95%(Beta 1.15、無風險利率 4.3%、ERP 5%,淨現金 ~US$65bn 使資金成本接近權益成本);終值採永續成長法。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基準情境隱含每 ADR 約 US$340、折合 NT$2,157/股,相對市場 ~US$380 約 −10%——即「大致合理、市場給約一成的品質溢價」。三情境區間 US$221(熊)~ US$463(牛),涵蓋市場價與 BofA 目標價 NT$2,530(≈US$399/ADR)。</w:t>
      </w:r>
    </w:p>
    <w:p>
      <w:pPr>
        <w:spacing w:after="60" w:before="80"/>
      </w:pPr>
      <w:r>
        <w:rPr>
          <w:rFonts w:ascii="Times New Roman" w:hAnsi="Times New Roman" w:eastAsia="Microsoft JhengHei"/>
          <w:b/>
          <w:i w:val="0"/>
          <w:color w:val="1F4E79"/>
          <w:sz w:val="22"/>
        </w:rPr>
        <w:t>表3:DCF 三情境(每 ADR / 每股)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每 ADR (US$)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每股 (NT$)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vs 市場 ~$380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TV 占 EV</w:t>
            </w:r>
          </w:p>
        </w:tc>
      </w:tr>
      <w:tr>
        <w:tc>
          <w:tcPr>
            <w:tcW w:type="dxa" w:w="19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熊 Bear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220.67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1,399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−41.9%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73%</w:t>
            </w:r>
          </w:p>
        </w:tc>
      </w:tr>
      <w:tr>
        <w:tc>
          <w:tcPr>
            <w:tcW w:type="dxa" w:w="1987"/>
            <w:shd w:val="clear" w:fill="EAF1F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基 Base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340.19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2,157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−10.5%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78%</w:t>
            </w:r>
          </w:p>
        </w:tc>
      </w:tr>
      <w:tr>
        <w:tc>
          <w:tcPr>
            <w:tcW w:type="dxa" w:w="19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牛 Bull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462.70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2,934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+21.8%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80%</w:t>
            </w:r>
          </w:p>
        </w:tc>
      </w:tr>
    </w:tbl>
    <w:p>
      <w:pPr>
        <w:spacing w:after="80" w:before="4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情境驅動:營收成長 / 營業利益率 / Capex 強度 / 終值成長 g;WACC 固定(其變化見工作簿 WACC×g 敏感度表)。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63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ootb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圖11:DCF 三情境隱含每 ADR vs. 市場價與 BofA 目標價</w:t>
      </w:r>
    </w:p>
    <w:p>
      <w:pPr>
        <w:spacing w:after="60" w:before="80"/>
      </w:pPr>
      <w:r>
        <w:rPr>
          <w:rFonts w:ascii="Times New Roman" w:hAnsi="Times New Roman" w:eastAsia="Microsoft JhengHei"/>
          <w:b/>
          <w:i w:val="0"/>
          <w:color w:val="1F4E79"/>
          <w:sz w:val="22"/>
        </w:rPr>
        <w:t>表4:同業比較(概略)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市值(US$bn)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毛利率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Fwd P/E</w:t>
            </w:r>
          </w:p>
        </w:tc>
        <w:tc>
          <w:tcPr>
            <w:tcW w:type="dxa" w:w="1987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EV/EBITDA</w:t>
            </w:r>
          </w:p>
        </w:tc>
      </w:tr>
      <w:tr>
        <w:tc>
          <w:tcPr>
            <w:tcW w:type="dxa" w:w="1987"/>
            <w:shd w:val="clear" w:fill="EAF1F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台積電 TSMC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~985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66%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~20x</w:t>
            </w:r>
          </w:p>
        </w:tc>
        <w:tc>
          <w:tcPr>
            <w:tcW w:type="dxa" w:w="1987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~12x</w:t>
            </w:r>
          </w:p>
        </w:tc>
      </w:tr>
      <w:tr>
        <w:tc>
          <w:tcPr>
            <w:tcW w:type="dxa" w:w="19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Samsung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~430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~38%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~13x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~5x</w:t>
            </w:r>
          </w:p>
        </w:tc>
      </w:tr>
      <w:tr>
        <w:tc>
          <w:tcPr>
            <w:tcW w:type="dxa" w:w="19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UMC 聯電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~18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~32%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~13x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~5x</w:t>
            </w:r>
          </w:p>
        </w:tc>
      </w:tr>
      <w:tr>
        <w:tc>
          <w:tcPr>
            <w:tcW w:type="dxa" w:w="19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GlobalFoundries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~24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~25%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~18x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~8x</w:t>
            </w:r>
          </w:p>
        </w:tc>
      </w:tr>
      <w:tr>
        <w:tc>
          <w:tcPr>
            <w:tcW w:type="dxa" w:w="19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SMIC 中芯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~75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~22%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~35x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~9x</w:t>
            </w:r>
          </w:p>
        </w:tc>
      </w:tr>
      <w:tr>
        <w:tc>
          <w:tcPr>
            <w:tcW w:type="dxa" w:w="19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Intel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~120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~32%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~25x</w:t>
            </w:r>
          </w:p>
        </w:tc>
        <w:tc>
          <w:tcPr>
            <w:tcW w:type="dxa" w:w="19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~8x</w:t>
            </w:r>
          </w:p>
        </w:tc>
      </w:tr>
    </w:tbl>
    <w:p>
      <w:pPr>
        <w:spacing w:after="80" w:before="4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TSMC 毛利率 66% 遠高於同業(22–38%),~20x Fwd P/E / ~12x EV/EBITDA 的溢價由獲利品質與 AI 領導地位支撐;純代工可比者稀少。</w:t>
      </w:r>
    </w:p>
    <w:p>
      <w:pPr>
        <w:spacing w:after="120" w:before="60"/>
      </w:pPr>
      <w:r>
        <w:rPr>
          <w:rFonts w:ascii="Times New Roman" w:hAnsi="Times New Roman" w:eastAsia="Microsoft JhengHei"/>
          <w:b/>
          <w:i w:val="0"/>
          <w:color w:val="111111"/>
          <w:sz w:val="21"/>
        </w:rPr>
        <w:t>估值小結:DCF 與 comps 一致指向「高品質、合理偏小幅溢價」。與 Vertiv(同題材但 DCF 隱含約 −68%)相比,TSMC 的折價/溢價溫和,差異來自低 beta + 淨現金 + 真實 FCF;惟 capex ~33% 的高資本密集度是 FCF 主要拖累,也是本季股價負反應根源。完整模型見 out/TSMC_DCF_Valuation.xlsx(含情境選擇器與敏感度表)。</w:t>
      </w:r>
    </w:p>
    <w:p>
      <w:pPr>
        <w:spacing w:after="80" w:before="120"/>
      </w:pPr>
      <w:r>
        <w:rPr>
          <w:rFonts w:ascii="Times New Roman" w:hAnsi="Times New Roman" w:eastAsia="Microsoft JhengHei"/>
          <w:b/>
          <w:i w:val="0"/>
          <w:color w:val="1F4E79"/>
          <w:sz w:val="24"/>
        </w:rPr>
        <w:t>七、風險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B02A2A"/>
          <w:sz w:val="21"/>
        </w:rPr>
        <w:t xml:space="preserve">▍資本密集度  </w:t>
      </w:r>
      <w:r>
        <w:rPr>
          <w:rFonts w:ascii="Times New Roman" w:hAnsi="Times New Roman" w:eastAsia="Microsoft JhengHei"/>
          <w:color w:val="111111"/>
          <w:sz w:val="21"/>
        </w:rPr>
        <w:t>capex 偏高端壓抑近期 FCF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B02A2A"/>
          <w:sz w:val="21"/>
        </w:rPr>
        <w:t xml:space="preserve">▍毛利率稀釋  </w:t>
      </w:r>
      <w:r>
        <w:rPr>
          <w:rFonts w:ascii="Times New Roman" w:hAnsi="Times New Roman" w:eastAsia="Microsoft JhengHei"/>
          <w:color w:val="111111"/>
          <w:sz w:val="21"/>
        </w:rPr>
        <w:t>N2 與海外廠 H2 起全年稀釋約 2–3%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B02A2A"/>
          <w:sz w:val="21"/>
        </w:rPr>
        <w:t xml:space="preserve">▍匯率  </w:t>
      </w:r>
      <w:r>
        <w:rPr>
          <w:rFonts w:ascii="Times New Roman" w:hAnsi="Times New Roman" w:eastAsia="Microsoft JhengHei"/>
          <w:color w:val="111111"/>
          <w:sz w:val="21"/>
        </w:rPr>
        <w:t>強勢台幣對美元報表/ADR 結構性逆風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B02A2A"/>
          <w:sz w:val="21"/>
        </w:rPr>
        <w:t xml:space="preserve">▍需求  </w:t>
      </w:r>
      <w:r>
        <w:rPr>
          <w:rFonts w:ascii="Times New Roman" w:hAnsi="Times New Roman" w:eastAsia="Microsoft JhengHei"/>
          <w:color w:val="111111"/>
          <w:sz w:val="21"/>
        </w:rPr>
        <w:t>AI 需求若降溫 + 過度投資的過剩風險</w:t>
      </w:r>
    </w:p>
    <w:p>
      <w:pPr>
        <w:spacing w:after="60"/>
        <w:ind w:left="240"/>
      </w:pPr>
      <w:r>
        <w:rPr>
          <w:rFonts w:ascii="Times New Roman" w:hAnsi="Times New Roman" w:eastAsia="Microsoft JhengHei"/>
          <w:b/>
          <w:color w:val="B02A2A"/>
          <w:sz w:val="21"/>
        </w:rPr>
        <w:t xml:space="preserve">▍地緣/關稅  </w:t>
      </w:r>
      <w:r>
        <w:rPr>
          <w:rFonts w:ascii="Times New Roman" w:hAnsi="Times New Roman" w:eastAsia="Microsoft JhengHei"/>
          <w:color w:val="111111"/>
          <w:sz w:val="21"/>
        </w:rPr>
        <w:t>美中貿易、製程用化學品/氣體漲價</w:t>
      </w:r>
    </w:p>
    <w:p>
      <w:pPr>
        <w:spacing w:after="80" w:before="120"/>
      </w:pPr>
      <w:r>
        <w:rPr>
          <w:rFonts w:ascii="Times New Roman" w:hAnsi="Times New Roman" w:eastAsia="Microsoft JhengHei"/>
          <w:b/>
          <w:i w:val="0"/>
          <w:color w:val="1F4E79"/>
          <w:sz w:val="22"/>
        </w:rPr>
        <w:t>來源 (Sources &amp; References)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TSMC 6-K 新聞稿「First Quarter EPS of NT$22.08」(2026-04-16) — pr.tsmc.com/english/news/3297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TSMC Q1'26 法說會 transcript — investing.com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TSMC Q4'25 結果 / Q1'26 前次指引(2026-01-15) — investor.tsmc.com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Manufacturing Dive、DataCenterDynamics、Tickeron、TipRanks(consensus 與股價反應)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BofA 目標價 NT$2,360→2,530(維持 Buy)— 第三方彙整,須查核</w:t>
      </w:r>
    </w:p>
    <w:p>
      <w:pPr>
        <w:spacing w:after="80" w:before="8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免責:本報告彙整自公開資訊與第三方來源,僅供內部研究參考,不構成投資建議。圖表中 2025 各季與資本支出歷史為近似估計(已標註);consensus、股價反應、目標價、FY2025 基數與地區別營收待官方數字補正。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