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128D5" w14:textId="77777777" w:rsidR="002D5DF3" w:rsidRPr="002D5DF3" w:rsidRDefault="002D5DF3" w:rsidP="002D5DF3">
      <w:pPr>
        <w:pStyle w:val="Titre4"/>
        <w:rPr>
          <w:rFonts w:ascii="Verdana" w:hAnsi="Verdana" w:cstheme="minorHAnsi"/>
          <w:b/>
          <w:bCs/>
          <w:i w:val="0"/>
          <w:iCs w:val="0"/>
          <w:caps/>
          <w:color w:val="auto"/>
          <w:sz w:val="18"/>
          <w:szCs w:val="18"/>
        </w:rPr>
      </w:pPr>
      <w:r w:rsidRPr="002D5DF3">
        <w:rPr>
          <w:rFonts w:ascii="Verdana" w:hAnsi="Verdana" w:cstheme="minorHAnsi"/>
          <w:b/>
          <w:bCs/>
          <w:i w:val="0"/>
          <w:iCs w:val="0"/>
          <w:caps/>
          <w:color w:val="auto"/>
          <w:sz w:val="18"/>
          <w:szCs w:val="18"/>
        </w:rPr>
        <w:t xml:space="preserve">ARTICLE 4 – Conditionnement DES REPAS en box par le Client pour LE transport PAR LA POSTE </w:t>
      </w:r>
    </w:p>
    <w:p w14:paraId="70E86F02" w14:textId="77777777" w:rsidR="002D5DF3" w:rsidRDefault="002D5DF3" w:rsidP="002D5DF3"/>
    <w:p w14:paraId="1FF794D7" w14:textId="77777777" w:rsidR="002D5DF3" w:rsidRPr="00592DC0" w:rsidRDefault="002D5DF3" w:rsidP="002D5DF3">
      <w:pPr>
        <w:spacing w:line="276" w:lineRule="auto"/>
        <w:jc w:val="both"/>
        <w:rPr>
          <w:rFonts w:ascii="Verdana" w:hAnsi="Verdana"/>
          <w:sz w:val="18"/>
          <w:szCs w:val="18"/>
        </w:rPr>
      </w:pPr>
      <w:r w:rsidRPr="00C72705">
        <w:rPr>
          <w:rFonts w:ascii="Verdana" w:hAnsi="Verdana" w:cstheme="minorHAnsi"/>
          <w:sz w:val="18"/>
          <w:szCs w:val="18"/>
        </w:rPr>
        <w:t>Le Client s’engage</w:t>
      </w:r>
      <w:r>
        <w:rPr>
          <w:rFonts w:ascii="Verdana" w:hAnsi="Verdana" w:cstheme="minorHAnsi"/>
          <w:sz w:val="18"/>
          <w:szCs w:val="18"/>
        </w:rPr>
        <w:t>,</w:t>
      </w:r>
      <w:r w:rsidRPr="00C72705">
        <w:rPr>
          <w:rFonts w:ascii="Verdana" w:hAnsi="Verdana" w:cstheme="minorHAnsi"/>
          <w:sz w:val="18"/>
          <w:szCs w:val="18"/>
        </w:rPr>
        <w:t xml:space="preserve"> pour lui -même </w:t>
      </w:r>
      <w:r>
        <w:rPr>
          <w:rFonts w:ascii="Verdana" w:hAnsi="Verdana" w:cstheme="minorHAnsi"/>
          <w:sz w:val="18"/>
          <w:szCs w:val="18"/>
        </w:rPr>
        <w:t xml:space="preserve">ou </w:t>
      </w:r>
      <w:r w:rsidRPr="00C72705">
        <w:rPr>
          <w:rFonts w:ascii="Verdana" w:hAnsi="Verdana" w:cstheme="minorHAnsi"/>
          <w:sz w:val="18"/>
          <w:szCs w:val="18"/>
        </w:rPr>
        <w:t>son éventuel prestataire de r</w:t>
      </w:r>
      <w:r>
        <w:rPr>
          <w:rFonts w:ascii="Verdana" w:hAnsi="Verdana" w:cstheme="minorHAnsi"/>
          <w:sz w:val="18"/>
          <w:szCs w:val="18"/>
        </w:rPr>
        <w:t xml:space="preserve">estauration, à </w:t>
      </w:r>
      <w:r>
        <w:rPr>
          <w:rFonts w:ascii="Verdana" w:hAnsi="Verdana"/>
          <w:sz w:val="18"/>
          <w:szCs w:val="18"/>
        </w:rPr>
        <w:t>confectionner les R</w:t>
      </w:r>
      <w:r w:rsidRPr="007E2C7C">
        <w:rPr>
          <w:rFonts w:ascii="Verdana" w:hAnsi="Verdana"/>
          <w:sz w:val="18"/>
          <w:szCs w:val="18"/>
        </w:rPr>
        <w:t>epas</w:t>
      </w:r>
      <w:r>
        <w:rPr>
          <w:rFonts w:ascii="Verdana" w:hAnsi="Verdana"/>
          <w:sz w:val="18"/>
          <w:szCs w:val="18"/>
        </w:rPr>
        <w:t xml:space="preserve">, et les </w:t>
      </w:r>
      <w:r w:rsidRPr="00592DC0">
        <w:rPr>
          <w:rFonts w:ascii="Verdana" w:hAnsi="Verdana" w:cstheme="minorHAnsi"/>
          <w:sz w:val="18"/>
          <w:szCs w:val="18"/>
        </w:rPr>
        <w:t xml:space="preserve">conditionner en Box </w:t>
      </w:r>
      <w:r w:rsidRPr="00592DC0">
        <w:rPr>
          <w:rFonts w:ascii="Verdana" w:hAnsi="Verdana"/>
          <w:sz w:val="18"/>
          <w:szCs w:val="18"/>
        </w:rPr>
        <w:t>de manière à garantir l’hygiène et la sécurité sanitaire, dans le respect des températures règlementaires, jusqu’à la livraison au</w:t>
      </w:r>
      <w:r>
        <w:rPr>
          <w:rFonts w:ascii="Verdana" w:hAnsi="Verdana"/>
          <w:sz w:val="18"/>
          <w:szCs w:val="18"/>
        </w:rPr>
        <w:t>x Bénéficiaires</w:t>
      </w:r>
      <w:r w:rsidRPr="00592DC0">
        <w:rPr>
          <w:rFonts w:ascii="Verdana" w:hAnsi="Verdana"/>
          <w:sz w:val="18"/>
          <w:szCs w:val="18"/>
        </w:rPr>
        <w:t>, quelles que soient les saisons</w:t>
      </w:r>
      <w:r>
        <w:rPr>
          <w:rFonts w:ascii="Verdana" w:hAnsi="Verdana"/>
          <w:sz w:val="18"/>
          <w:szCs w:val="18"/>
        </w:rPr>
        <w:t xml:space="preserve"> </w:t>
      </w:r>
      <w:r w:rsidRPr="00592DC0">
        <w:rPr>
          <w:rFonts w:ascii="Verdana" w:hAnsi="Verdana"/>
          <w:sz w:val="18"/>
          <w:szCs w:val="18"/>
        </w:rPr>
        <w:t>et les conditions climatiques.</w:t>
      </w:r>
    </w:p>
    <w:p w14:paraId="7815D258" w14:textId="77777777" w:rsidR="002D5DF3" w:rsidRDefault="002D5DF3" w:rsidP="002D5DF3">
      <w:pPr>
        <w:jc w:val="both"/>
        <w:rPr>
          <w:rFonts w:ascii="Verdana" w:hAnsi="Verdana" w:cstheme="minorHAnsi"/>
          <w:sz w:val="18"/>
          <w:szCs w:val="18"/>
        </w:rPr>
      </w:pPr>
    </w:p>
    <w:p w14:paraId="78337CCA" w14:textId="77777777" w:rsidR="002D5DF3" w:rsidRDefault="002D5DF3" w:rsidP="002D5DF3">
      <w:pPr>
        <w:jc w:val="both"/>
        <w:rPr>
          <w:rFonts w:ascii="Verdana" w:hAnsi="Verdana" w:cstheme="minorHAnsi"/>
          <w:b/>
          <w:sz w:val="18"/>
          <w:szCs w:val="18"/>
        </w:rPr>
      </w:pPr>
    </w:p>
    <w:p w14:paraId="6A475747" w14:textId="77777777" w:rsidR="002D5DF3" w:rsidRPr="00A16F9A" w:rsidRDefault="002D5DF3" w:rsidP="002D5DF3">
      <w:pPr>
        <w:jc w:val="both"/>
        <w:rPr>
          <w:rFonts w:ascii="Verdana" w:hAnsi="Verdana" w:cstheme="minorHAnsi"/>
          <w:b/>
          <w:sz w:val="18"/>
          <w:szCs w:val="18"/>
        </w:rPr>
      </w:pPr>
      <w:r>
        <w:rPr>
          <w:rFonts w:ascii="Verdana" w:hAnsi="Verdana" w:cstheme="minorHAnsi"/>
          <w:b/>
          <w:sz w:val="18"/>
          <w:szCs w:val="18"/>
        </w:rPr>
        <w:t>4.1 Propriété et caractéristiques des Box isothermes</w:t>
      </w:r>
    </w:p>
    <w:p w14:paraId="4DEC2F69" w14:textId="77777777" w:rsidR="002D5DF3" w:rsidRDefault="002D5DF3" w:rsidP="002D5DF3">
      <w:pPr>
        <w:jc w:val="both"/>
        <w:rPr>
          <w:rFonts w:ascii="Verdana" w:hAnsi="Verdana" w:cstheme="minorHAnsi"/>
          <w:sz w:val="18"/>
          <w:szCs w:val="18"/>
        </w:rPr>
      </w:pPr>
    </w:p>
    <w:p w14:paraId="78E3A935" w14:textId="77777777" w:rsidR="002D5DF3" w:rsidRDefault="002D5DF3" w:rsidP="002D5DF3">
      <w:pPr>
        <w:jc w:val="both"/>
        <w:rPr>
          <w:rFonts w:ascii="Verdana" w:hAnsi="Verdana" w:cstheme="minorHAnsi"/>
          <w:sz w:val="18"/>
          <w:szCs w:val="18"/>
        </w:rPr>
      </w:pPr>
      <w:r>
        <w:rPr>
          <w:rFonts w:ascii="Verdana" w:hAnsi="Verdana" w:cstheme="minorHAnsi"/>
          <w:sz w:val="18"/>
          <w:szCs w:val="18"/>
        </w:rPr>
        <w:t>L</w:t>
      </w:r>
      <w:r w:rsidRPr="00152283">
        <w:rPr>
          <w:rFonts w:ascii="Verdana" w:hAnsi="Verdana" w:cstheme="minorHAnsi"/>
          <w:sz w:val="18"/>
          <w:szCs w:val="18"/>
        </w:rPr>
        <w:t xml:space="preserve">es Box </w:t>
      </w:r>
      <w:r>
        <w:rPr>
          <w:rFonts w:ascii="Verdana" w:hAnsi="Verdana" w:cstheme="minorHAnsi"/>
          <w:sz w:val="18"/>
          <w:szCs w:val="18"/>
        </w:rPr>
        <w:t>mises à disposition du</w:t>
      </w:r>
      <w:r w:rsidRPr="00152283">
        <w:rPr>
          <w:rFonts w:ascii="Verdana" w:hAnsi="Verdana" w:cstheme="minorHAnsi"/>
          <w:sz w:val="18"/>
          <w:szCs w:val="18"/>
        </w:rPr>
        <w:t xml:space="preserve"> Clien</w:t>
      </w:r>
      <w:r>
        <w:rPr>
          <w:rFonts w:ascii="Verdana" w:hAnsi="Verdana" w:cstheme="minorHAnsi"/>
          <w:sz w:val="18"/>
          <w:szCs w:val="18"/>
        </w:rPr>
        <w:t xml:space="preserve">t, et </w:t>
      </w:r>
      <w:r w:rsidRPr="00152283">
        <w:rPr>
          <w:rFonts w:ascii="Verdana" w:hAnsi="Verdana" w:cstheme="minorHAnsi"/>
          <w:sz w:val="18"/>
          <w:szCs w:val="18"/>
        </w:rPr>
        <w:t>propriété de La Poste</w:t>
      </w:r>
      <w:r>
        <w:rPr>
          <w:rFonts w:ascii="Verdana" w:hAnsi="Verdana" w:cstheme="minorHAnsi"/>
          <w:sz w:val="18"/>
          <w:szCs w:val="18"/>
        </w:rPr>
        <w:t xml:space="preserve">, </w:t>
      </w:r>
      <w:r w:rsidRPr="00DF588F">
        <w:rPr>
          <w:rFonts w:ascii="Verdana" w:hAnsi="Verdana" w:cstheme="minorHAnsi"/>
          <w:sz w:val="18"/>
          <w:szCs w:val="18"/>
        </w:rPr>
        <w:t xml:space="preserve">sont des </w:t>
      </w:r>
      <w:r>
        <w:rPr>
          <w:rFonts w:ascii="Verdana" w:hAnsi="Verdana" w:cstheme="minorHAnsi"/>
          <w:sz w:val="18"/>
          <w:szCs w:val="18"/>
        </w:rPr>
        <w:t xml:space="preserve">petits </w:t>
      </w:r>
      <w:r w:rsidRPr="00DF588F">
        <w:rPr>
          <w:rFonts w:ascii="Verdana" w:hAnsi="Verdana" w:cstheme="minorHAnsi"/>
          <w:sz w:val="18"/>
          <w:szCs w:val="18"/>
        </w:rPr>
        <w:t>conteneurs isothermes</w:t>
      </w:r>
      <w:r>
        <w:rPr>
          <w:rFonts w:ascii="Verdana" w:hAnsi="Verdana" w:cstheme="minorHAnsi"/>
          <w:sz w:val="18"/>
          <w:szCs w:val="18"/>
        </w:rPr>
        <w:t> :</w:t>
      </w:r>
    </w:p>
    <w:p w14:paraId="50DF3CD4" w14:textId="77777777" w:rsidR="002D5DF3" w:rsidRDefault="002D5DF3" w:rsidP="002D5DF3">
      <w:pPr>
        <w:jc w:val="both"/>
        <w:rPr>
          <w:rFonts w:ascii="Verdana" w:hAnsi="Verdana" w:cstheme="minorHAnsi"/>
          <w:sz w:val="18"/>
          <w:szCs w:val="18"/>
        </w:rPr>
      </w:pPr>
    </w:p>
    <w:p w14:paraId="1F2D847C" w14:textId="77777777" w:rsidR="002D5DF3" w:rsidRDefault="002D5DF3" w:rsidP="002D5DF3">
      <w:pPr>
        <w:pStyle w:val="Paragraphedeliste"/>
        <w:numPr>
          <w:ilvl w:val="0"/>
          <w:numId w:val="5"/>
        </w:numPr>
        <w:contextualSpacing w:val="0"/>
        <w:jc w:val="both"/>
        <w:rPr>
          <w:rFonts w:ascii="Verdana" w:hAnsi="Verdana" w:cstheme="minorHAnsi"/>
          <w:sz w:val="18"/>
          <w:szCs w:val="18"/>
        </w:rPr>
      </w:pPr>
      <w:r w:rsidRPr="00391768">
        <w:rPr>
          <w:rFonts w:ascii="Verdana" w:hAnsi="Verdana" w:cstheme="minorHAnsi"/>
          <w:sz w:val="18"/>
          <w:szCs w:val="18"/>
        </w:rPr>
        <w:t>Aptes à maintenir le froid pendant une durée maximale de 30 heures, comprise entre la fermeture de la Box par le Client et son ouverture par La Poste au moment de livraison au Bénéficiaire</w:t>
      </w:r>
      <w:r>
        <w:rPr>
          <w:rFonts w:ascii="Verdana" w:hAnsi="Verdana" w:cstheme="minorHAnsi"/>
          <w:sz w:val="18"/>
          <w:szCs w:val="18"/>
        </w:rPr>
        <w:t>, et</w:t>
      </w:r>
    </w:p>
    <w:p w14:paraId="30403901" w14:textId="77777777" w:rsidR="002D5DF3" w:rsidRDefault="002D5DF3" w:rsidP="002D5DF3">
      <w:pPr>
        <w:pStyle w:val="Paragraphedeliste"/>
        <w:numPr>
          <w:ilvl w:val="0"/>
          <w:numId w:val="5"/>
        </w:numPr>
        <w:contextualSpacing w:val="0"/>
        <w:jc w:val="both"/>
        <w:rPr>
          <w:rFonts w:ascii="Verdana" w:hAnsi="Verdana" w:cstheme="minorHAnsi"/>
          <w:sz w:val="18"/>
          <w:szCs w:val="18"/>
        </w:rPr>
      </w:pPr>
      <w:r w:rsidRPr="00391768">
        <w:rPr>
          <w:rFonts w:ascii="Verdana" w:hAnsi="Verdana" w:cstheme="minorHAnsi"/>
          <w:sz w:val="18"/>
          <w:szCs w:val="18"/>
        </w:rPr>
        <w:t>Conformes à la norme NF EN 12571</w:t>
      </w:r>
      <w:r>
        <w:rPr>
          <w:rFonts w:ascii="Verdana" w:hAnsi="Verdana" w:cstheme="minorHAnsi"/>
          <w:sz w:val="18"/>
          <w:szCs w:val="18"/>
        </w:rPr>
        <w:t>, et</w:t>
      </w:r>
    </w:p>
    <w:p w14:paraId="2AD7986E" w14:textId="77777777" w:rsidR="002D5DF3" w:rsidRDefault="002D5DF3" w:rsidP="002D5DF3">
      <w:pPr>
        <w:pStyle w:val="Paragraphedeliste"/>
        <w:numPr>
          <w:ilvl w:val="0"/>
          <w:numId w:val="5"/>
        </w:numPr>
        <w:contextualSpacing w:val="0"/>
        <w:jc w:val="both"/>
        <w:rPr>
          <w:rFonts w:ascii="Verdana" w:hAnsi="Verdana" w:cstheme="minorHAnsi"/>
          <w:sz w:val="18"/>
          <w:szCs w:val="18"/>
        </w:rPr>
      </w:pPr>
      <w:r w:rsidRPr="00391768">
        <w:rPr>
          <w:rFonts w:ascii="Verdana" w:hAnsi="Verdana" w:cstheme="minorHAnsi"/>
          <w:sz w:val="18"/>
          <w:szCs w:val="18"/>
        </w:rPr>
        <w:t xml:space="preserve">Ayant fait l’objet d’une attestation de conformité technique délivrée par le </w:t>
      </w:r>
      <w:proofErr w:type="spellStart"/>
      <w:r w:rsidRPr="00391768">
        <w:rPr>
          <w:rFonts w:ascii="Verdana" w:hAnsi="Verdana" w:cstheme="minorHAnsi"/>
          <w:sz w:val="18"/>
          <w:szCs w:val="18"/>
        </w:rPr>
        <w:t>Cemafroid</w:t>
      </w:r>
      <w:proofErr w:type="spellEnd"/>
      <w:r w:rsidRPr="00391768">
        <w:rPr>
          <w:rFonts w:ascii="Verdana" w:hAnsi="Verdana" w:cstheme="minorHAnsi"/>
          <w:sz w:val="18"/>
          <w:szCs w:val="18"/>
        </w:rPr>
        <w:t xml:space="preserve"> en tant qu’autorité compétente déléguée ATP</w:t>
      </w:r>
      <w:r>
        <w:rPr>
          <w:rFonts w:ascii="Verdana" w:hAnsi="Verdana" w:cstheme="minorHAnsi"/>
          <w:sz w:val="18"/>
          <w:szCs w:val="18"/>
        </w:rPr>
        <w:t>, et</w:t>
      </w:r>
    </w:p>
    <w:p w14:paraId="2BFF8F3A" w14:textId="77777777" w:rsidR="002D5DF3" w:rsidRPr="00391768" w:rsidRDefault="002D5DF3" w:rsidP="002D5DF3">
      <w:pPr>
        <w:pStyle w:val="Paragraphedeliste"/>
        <w:numPr>
          <w:ilvl w:val="0"/>
          <w:numId w:val="5"/>
        </w:numPr>
        <w:contextualSpacing w:val="0"/>
        <w:jc w:val="both"/>
        <w:rPr>
          <w:rFonts w:ascii="Verdana" w:hAnsi="Verdana" w:cstheme="minorHAnsi"/>
          <w:sz w:val="18"/>
          <w:szCs w:val="18"/>
        </w:rPr>
      </w:pPr>
      <w:r w:rsidRPr="00391768">
        <w:rPr>
          <w:rFonts w:ascii="Verdana" w:hAnsi="Verdana" w:cstheme="minorHAnsi"/>
          <w:sz w:val="18"/>
          <w:szCs w:val="18"/>
        </w:rPr>
        <w:t>Revêtus d’un marquage ATP.</w:t>
      </w:r>
    </w:p>
    <w:p w14:paraId="062660B1" w14:textId="77777777" w:rsidR="002D5DF3" w:rsidRDefault="002D5DF3" w:rsidP="002D5DF3">
      <w:pPr>
        <w:jc w:val="both"/>
        <w:rPr>
          <w:rFonts w:ascii="Verdana" w:hAnsi="Verdana" w:cstheme="minorHAnsi"/>
          <w:sz w:val="18"/>
          <w:szCs w:val="18"/>
        </w:rPr>
      </w:pPr>
    </w:p>
    <w:p w14:paraId="095817C2" w14:textId="77777777" w:rsidR="002D5DF3" w:rsidRPr="00DF588F" w:rsidRDefault="002D5DF3" w:rsidP="002D5DF3">
      <w:pPr>
        <w:jc w:val="both"/>
        <w:rPr>
          <w:rFonts w:ascii="Verdana" w:hAnsi="Verdana" w:cstheme="minorHAnsi"/>
          <w:sz w:val="18"/>
          <w:szCs w:val="18"/>
        </w:rPr>
      </w:pPr>
      <w:r w:rsidRPr="00DF588F">
        <w:rPr>
          <w:rFonts w:ascii="Verdana" w:hAnsi="Verdana" w:cstheme="minorHAnsi"/>
          <w:sz w:val="18"/>
          <w:szCs w:val="18"/>
        </w:rPr>
        <w:t>Chaque Box mise à disposition comprend</w:t>
      </w:r>
      <w:r>
        <w:rPr>
          <w:rFonts w:ascii="Verdana" w:hAnsi="Verdana" w:cstheme="minorHAnsi"/>
          <w:sz w:val="18"/>
          <w:szCs w:val="18"/>
        </w:rPr>
        <w:t>, outre</w:t>
      </w:r>
      <w:r w:rsidRPr="00152283">
        <w:rPr>
          <w:rFonts w:ascii="Verdana" w:hAnsi="Verdana" w:cstheme="minorHAnsi"/>
          <w:sz w:val="18"/>
          <w:szCs w:val="18"/>
        </w:rPr>
        <w:t xml:space="preserve"> </w:t>
      </w:r>
      <w:r>
        <w:rPr>
          <w:rFonts w:ascii="Verdana" w:hAnsi="Verdana" w:cstheme="minorHAnsi"/>
          <w:sz w:val="18"/>
          <w:szCs w:val="18"/>
        </w:rPr>
        <w:t xml:space="preserve">le conteneur isotherme, </w:t>
      </w:r>
      <w:r w:rsidRPr="00DF588F">
        <w:rPr>
          <w:rFonts w:ascii="Verdana" w:hAnsi="Verdana" w:cstheme="minorHAnsi"/>
          <w:sz w:val="18"/>
          <w:szCs w:val="18"/>
        </w:rPr>
        <w:t>les accessoires suivants</w:t>
      </w:r>
      <w:r>
        <w:rPr>
          <w:rFonts w:ascii="Verdana" w:hAnsi="Verdana" w:cstheme="minorHAnsi"/>
          <w:sz w:val="18"/>
          <w:szCs w:val="18"/>
        </w:rPr>
        <w:t>,</w:t>
      </w:r>
      <w:r w:rsidRPr="00DF588F">
        <w:rPr>
          <w:rFonts w:ascii="Verdana" w:hAnsi="Verdana" w:cstheme="minorHAnsi"/>
          <w:sz w:val="18"/>
          <w:szCs w:val="18"/>
        </w:rPr>
        <w:t xml:space="preserve"> réutilisables</w:t>
      </w:r>
      <w:r>
        <w:rPr>
          <w:rFonts w:ascii="Verdana" w:hAnsi="Verdana" w:cstheme="minorHAnsi"/>
          <w:sz w:val="18"/>
          <w:szCs w:val="18"/>
        </w:rPr>
        <w:t xml:space="preserve"> </w:t>
      </w:r>
      <w:r w:rsidRPr="00DF588F">
        <w:rPr>
          <w:rFonts w:ascii="Verdana" w:hAnsi="Verdana" w:cstheme="minorHAnsi"/>
          <w:sz w:val="18"/>
          <w:szCs w:val="18"/>
        </w:rPr>
        <w:t>:</w:t>
      </w:r>
    </w:p>
    <w:p w14:paraId="13941C76" w14:textId="77777777" w:rsidR="002D5DF3" w:rsidRPr="00034769" w:rsidRDefault="002D5DF3" w:rsidP="002D5DF3">
      <w:pPr>
        <w:pStyle w:val="Paragraphedeliste"/>
        <w:numPr>
          <w:ilvl w:val="0"/>
          <w:numId w:val="2"/>
        </w:numPr>
        <w:ind w:left="284" w:firstLine="0"/>
        <w:contextualSpacing w:val="0"/>
        <w:jc w:val="both"/>
        <w:rPr>
          <w:rFonts w:ascii="Verdana" w:hAnsi="Verdana" w:cstheme="minorHAnsi"/>
          <w:sz w:val="18"/>
          <w:szCs w:val="18"/>
        </w:rPr>
      </w:pPr>
      <w:r w:rsidRPr="00034769">
        <w:rPr>
          <w:rFonts w:ascii="Verdana" w:hAnsi="Verdana" w:cstheme="minorHAnsi"/>
          <w:sz w:val="18"/>
          <w:szCs w:val="18"/>
        </w:rPr>
        <w:t>Trois</w:t>
      </w:r>
      <w:r>
        <w:rPr>
          <w:rFonts w:ascii="Verdana" w:hAnsi="Verdana" w:cstheme="minorHAnsi"/>
          <w:sz w:val="18"/>
          <w:szCs w:val="18"/>
        </w:rPr>
        <w:t xml:space="preserve"> </w:t>
      </w:r>
      <w:r w:rsidRPr="00034769">
        <w:rPr>
          <w:rFonts w:ascii="Verdana" w:hAnsi="Verdana" w:cstheme="minorHAnsi"/>
          <w:sz w:val="18"/>
          <w:szCs w:val="18"/>
        </w:rPr>
        <w:t xml:space="preserve">(3) plaques eutectiques par Box </w:t>
      </w:r>
    </w:p>
    <w:p w14:paraId="34148A13" w14:textId="77777777" w:rsidR="002D5DF3" w:rsidRPr="00034769" w:rsidRDefault="002D5DF3" w:rsidP="002D5DF3">
      <w:pPr>
        <w:pStyle w:val="Paragraphedeliste"/>
        <w:numPr>
          <w:ilvl w:val="0"/>
          <w:numId w:val="2"/>
        </w:numPr>
        <w:ind w:left="284" w:firstLine="0"/>
        <w:contextualSpacing w:val="0"/>
        <w:jc w:val="both"/>
        <w:rPr>
          <w:rFonts w:ascii="Verdana" w:hAnsi="Verdana" w:cstheme="minorHAnsi"/>
          <w:sz w:val="18"/>
          <w:szCs w:val="18"/>
        </w:rPr>
      </w:pPr>
      <w:r w:rsidRPr="00034769">
        <w:rPr>
          <w:rFonts w:ascii="Verdana" w:hAnsi="Verdana" w:cstheme="minorHAnsi"/>
          <w:sz w:val="18"/>
          <w:szCs w:val="18"/>
        </w:rPr>
        <w:t>Un (1) traceur de température.</w:t>
      </w:r>
    </w:p>
    <w:p w14:paraId="1301BF04" w14:textId="77777777" w:rsidR="002D5DF3" w:rsidRDefault="002D5DF3" w:rsidP="002D5DF3">
      <w:pPr>
        <w:jc w:val="both"/>
        <w:rPr>
          <w:rFonts w:ascii="Verdana" w:hAnsi="Verdana" w:cstheme="minorHAnsi"/>
          <w:sz w:val="18"/>
          <w:szCs w:val="18"/>
        </w:rPr>
      </w:pPr>
    </w:p>
    <w:p w14:paraId="4509B433" w14:textId="77777777" w:rsidR="002D5DF3" w:rsidRDefault="002D5DF3" w:rsidP="002D5DF3">
      <w:pPr>
        <w:jc w:val="both"/>
        <w:rPr>
          <w:rFonts w:ascii="Verdana" w:hAnsi="Verdana" w:cstheme="minorHAnsi"/>
          <w:sz w:val="18"/>
          <w:szCs w:val="18"/>
        </w:rPr>
      </w:pPr>
      <w:r>
        <w:rPr>
          <w:rFonts w:ascii="Verdana" w:hAnsi="Verdana" w:cstheme="minorHAnsi"/>
          <w:sz w:val="18"/>
          <w:szCs w:val="18"/>
        </w:rPr>
        <w:t>La Poste assure :</w:t>
      </w:r>
    </w:p>
    <w:p w14:paraId="2052E7C3" w14:textId="77777777" w:rsidR="002D5DF3" w:rsidRDefault="002D5DF3" w:rsidP="002D5DF3">
      <w:pPr>
        <w:pStyle w:val="Paragraphedeliste"/>
        <w:numPr>
          <w:ilvl w:val="0"/>
          <w:numId w:val="3"/>
        </w:numPr>
        <w:ind w:left="0" w:firstLine="284"/>
        <w:contextualSpacing w:val="0"/>
        <w:jc w:val="both"/>
        <w:rPr>
          <w:rFonts w:ascii="Verdana" w:hAnsi="Verdana" w:cstheme="minorHAnsi"/>
          <w:sz w:val="18"/>
          <w:szCs w:val="18"/>
        </w:rPr>
      </w:pPr>
      <w:r>
        <w:rPr>
          <w:rFonts w:ascii="Verdana" w:hAnsi="Verdana" w:cstheme="minorHAnsi"/>
          <w:sz w:val="18"/>
          <w:szCs w:val="18"/>
        </w:rPr>
        <w:t>L</w:t>
      </w:r>
      <w:r w:rsidRPr="006371FB">
        <w:rPr>
          <w:rFonts w:ascii="Verdana" w:hAnsi="Verdana" w:cstheme="minorHAnsi"/>
          <w:sz w:val="18"/>
          <w:szCs w:val="18"/>
        </w:rPr>
        <w:t>e contrôle quotidien d</w:t>
      </w:r>
      <w:r>
        <w:rPr>
          <w:rFonts w:ascii="Verdana" w:hAnsi="Verdana" w:cstheme="minorHAnsi"/>
          <w:sz w:val="18"/>
          <w:szCs w:val="18"/>
        </w:rPr>
        <w:t>u nombre de Box</w:t>
      </w:r>
      <w:r w:rsidRPr="006371FB">
        <w:rPr>
          <w:rFonts w:ascii="Verdana" w:hAnsi="Verdana" w:cstheme="minorHAnsi"/>
          <w:sz w:val="18"/>
          <w:szCs w:val="18"/>
        </w:rPr>
        <w:t>,</w:t>
      </w:r>
    </w:p>
    <w:p w14:paraId="2791F883" w14:textId="77777777" w:rsidR="002D5DF3" w:rsidRPr="006371FB" w:rsidRDefault="002D5DF3" w:rsidP="002D5DF3">
      <w:pPr>
        <w:pStyle w:val="Paragraphedeliste"/>
        <w:numPr>
          <w:ilvl w:val="0"/>
          <w:numId w:val="3"/>
        </w:numPr>
        <w:ind w:left="0" w:firstLine="284"/>
        <w:contextualSpacing w:val="0"/>
        <w:jc w:val="both"/>
        <w:rPr>
          <w:rFonts w:ascii="Verdana" w:hAnsi="Verdana" w:cstheme="minorHAnsi"/>
          <w:sz w:val="18"/>
          <w:szCs w:val="18"/>
        </w:rPr>
      </w:pPr>
      <w:r>
        <w:rPr>
          <w:rFonts w:ascii="Verdana" w:hAnsi="Verdana" w:cstheme="minorHAnsi"/>
          <w:sz w:val="18"/>
          <w:szCs w:val="18"/>
        </w:rPr>
        <w:t>L</w:t>
      </w:r>
      <w:r w:rsidRPr="006371FB">
        <w:rPr>
          <w:rFonts w:ascii="Verdana" w:hAnsi="Verdana" w:cstheme="minorHAnsi"/>
          <w:sz w:val="18"/>
          <w:szCs w:val="18"/>
        </w:rPr>
        <w:t xml:space="preserve">e renouvellement et le remplacement des Box et de leurs accessoires, à ses frais, sauf faute </w:t>
      </w:r>
      <w:r>
        <w:rPr>
          <w:rFonts w:ascii="Verdana" w:hAnsi="Verdana" w:cstheme="minorHAnsi"/>
          <w:sz w:val="18"/>
          <w:szCs w:val="18"/>
        </w:rPr>
        <w:t xml:space="preserve">  </w:t>
      </w:r>
      <w:r w:rsidRPr="006371FB">
        <w:rPr>
          <w:rFonts w:ascii="Verdana" w:hAnsi="Verdana" w:cstheme="minorHAnsi"/>
          <w:sz w:val="18"/>
          <w:szCs w:val="18"/>
        </w:rPr>
        <w:t xml:space="preserve">du Client. </w:t>
      </w:r>
    </w:p>
    <w:p w14:paraId="25F776CF" w14:textId="77777777" w:rsidR="002D5DF3" w:rsidRDefault="002D5DF3" w:rsidP="002D5DF3">
      <w:pPr>
        <w:jc w:val="both"/>
        <w:rPr>
          <w:rFonts w:ascii="Verdana" w:hAnsi="Verdana" w:cstheme="minorHAnsi"/>
          <w:sz w:val="18"/>
          <w:szCs w:val="18"/>
        </w:rPr>
      </w:pPr>
    </w:p>
    <w:p w14:paraId="2195A60A" w14:textId="77777777" w:rsidR="002D5DF3" w:rsidRDefault="002D5DF3" w:rsidP="002D5DF3">
      <w:pPr>
        <w:jc w:val="both"/>
        <w:rPr>
          <w:rFonts w:ascii="Verdana" w:hAnsi="Verdana" w:cstheme="minorHAnsi"/>
          <w:sz w:val="18"/>
          <w:szCs w:val="18"/>
        </w:rPr>
      </w:pPr>
      <w:r w:rsidRPr="00914795">
        <w:rPr>
          <w:rFonts w:ascii="Verdana" w:hAnsi="Verdana" w:cstheme="minorHAnsi"/>
          <w:sz w:val="18"/>
          <w:szCs w:val="18"/>
        </w:rPr>
        <w:t xml:space="preserve">La Poste ne fournit pas le dispositif de chargement des plaques eutectique en froid. Il appartient au Client d’acquérir à ses frais un dispositif compatible avec les box et plaques fournies par La Poste.  </w:t>
      </w:r>
    </w:p>
    <w:p w14:paraId="050F8203" w14:textId="77777777" w:rsidR="002D5DF3" w:rsidRDefault="002D5DF3" w:rsidP="002D5DF3">
      <w:pPr>
        <w:jc w:val="both"/>
        <w:rPr>
          <w:rFonts w:ascii="Verdana" w:hAnsi="Verdana" w:cstheme="minorHAnsi"/>
          <w:sz w:val="18"/>
          <w:szCs w:val="18"/>
        </w:rPr>
      </w:pPr>
    </w:p>
    <w:p w14:paraId="3EFB5F4B" w14:textId="77777777" w:rsidR="002D5DF3" w:rsidRPr="00DF588F" w:rsidRDefault="002D5DF3" w:rsidP="002D5DF3">
      <w:pPr>
        <w:ind w:firstLine="708"/>
        <w:jc w:val="both"/>
        <w:rPr>
          <w:rFonts w:ascii="Verdana" w:hAnsi="Verdana" w:cstheme="minorHAnsi"/>
          <w:sz w:val="18"/>
          <w:szCs w:val="18"/>
        </w:rPr>
      </w:pPr>
    </w:p>
    <w:p w14:paraId="4C838E8C" w14:textId="77777777" w:rsidR="002D5DF3" w:rsidRPr="00FF1DA5" w:rsidRDefault="002D5DF3" w:rsidP="002D5DF3">
      <w:pPr>
        <w:jc w:val="both"/>
        <w:rPr>
          <w:rFonts w:ascii="Verdana" w:hAnsi="Verdana" w:cstheme="minorHAnsi"/>
          <w:sz w:val="18"/>
          <w:szCs w:val="18"/>
        </w:rPr>
      </w:pPr>
      <w:r>
        <w:rPr>
          <w:rFonts w:ascii="Verdana" w:hAnsi="Verdana" w:cstheme="minorHAnsi"/>
          <w:b/>
          <w:sz w:val="18"/>
          <w:szCs w:val="18"/>
        </w:rPr>
        <w:t>4</w:t>
      </w:r>
      <w:r w:rsidRPr="00152283">
        <w:rPr>
          <w:rFonts w:ascii="Verdana" w:hAnsi="Verdana" w:cstheme="minorHAnsi"/>
          <w:b/>
          <w:sz w:val="18"/>
          <w:szCs w:val="18"/>
        </w:rPr>
        <w:t>.2</w:t>
      </w:r>
      <w:r>
        <w:rPr>
          <w:rFonts w:ascii="Verdana" w:hAnsi="Verdana" w:cstheme="minorHAnsi"/>
          <w:b/>
          <w:sz w:val="18"/>
          <w:szCs w:val="18"/>
        </w:rPr>
        <w:t xml:space="preserve"> </w:t>
      </w:r>
      <w:r w:rsidRPr="00152283">
        <w:rPr>
          <w:rFonts w:ascii="Verdana" w:hAnsi="Verdana" w:cstheme="minorHAnsi"/>
          <w:b/>
          <w:sz w:val="18"/>
          <w:szCs w:val="18"/>
        </w:rPr>
        <w:t xml:space="preserve"> </w:t>
      </w:r>
      <w:r>
        <w:rPr>
          <w:rFonts w:ascii="Verdana" w:hAnsi="Verdana" w:cstheme="minorHAnsi"/>
          <w:b/>
          <w:sz w:val="18"/>
          <w:szCs w:val="18"/>
        </w:rPr>
        <w:t xml:space="preserve"> </w:t>
      </w:r>
      <w:r w:rsidRPr="00FF1DA5">
        <w:rPr>
          <w:rFonts w:ascii="Verdana" w:hAnsi="Verdana" w:cstheme="minorHAnsi"/>
          <w:b/>
          <w:sz w:val="18"/>
          <w:szCs w:val="18"/>
        </w:rPr>
        <w:t>Utilisation des Box</w:t>
      </w:r>
      <w:r>
        <w:rPr>
          <w:rFonts w:ascii="Verdana" w:hAnsi="Verdana" w:cstheme="minorHAnsi"/>
          <w:sz w:val="18"/>
          <w:szCs w:val="18"/>
        </w:rPr>
        <w:t xml:space="preserve"> </w:t>
      </w:r>
      <w:r w:rsidRPr="00DF588F">
        <w:rPr>
          <w:rFonts w:ascii="Verdana" w:hAnsi="Verdana" w:cstheme="minorHAnsi"/>
          <w:b/>
          <w:sz w:val="18"/>
          <w:szCs w:val="18"/>
        </w:rPr>
        <w:t>par le Client</w:t>
      </w:r>
      <w:r>
        <w:rPr>
          <w:rFonts w:ascii="Verdana" w:hAnsi="Verdana" w:cstheme="minorHAnsi"/>
          <w:sz w:val="18"/>
          <w:szCs w:val="18"/>
          <w:u w:val="single"/>
        </w:rPr>
        <w:t xml:space="preserve">  </w:t>
      </w:r>
    </w:p>
    <w:p w14:paraId="6E006394" w14:textId="77777777" w:rsidR="002D5DF3" w:rsidRDefault="002D5DF3" w:rsidP="002D5DF3">
      <w:pPr>
        <w:jc w:val="both"/>
        <w:rPr>
          <w:rFonts w:ascii="Verdana" w:hAnsi="Verdana" w:cstheme="minorHAnsi"/>
          <w:sz w:val="18"/>
          <w:szCs w:val="18"/>
        </w:rPr>
      </w:pPr>
    </w:p>
    <w:p w14:paraId="1FF912FD" w14:textId="77777777" w:rsidR="002D5DF3" w:rsidRDefault="002D5DF3" w:rsidP="002D5DF3">
      <w:pPr>
        <w:jc w:val="both"/>
        <w:rPr>
          <w:rFonts w:ascii="Verdana" w:hAnsi="Verdana" w:cstheme="minorHAnsi"/>
          <w:sz w:val="18"/>
          <w:szCs w:val="18"/>
        </w:rPr>
      </w:pPr>
      <w:r w:rsidRPr="00A63397">
        <w:rPr>
          <w:rFonts w:ascii="Verdana" w:hAnsi="Verdana" w:cstheme="minorHAnsi"/>
          <w:sz w:val="18"/>
          <w:szCs w:val="18"/>
        </w:rPr>
        <w:t>La Poste</w:t>
      </w:r>
      <w:r>
        <w:rPr>
          <w:rFonts w:ascii="Verdana" w:hAnsi="Verdana" w:cstheme="minorHAnsi"/>
          <w:sz w:val="18"/>
          <w:szCs w:val="18"/>
        </w:rPr>
        <w:t xml:space="preserve"> s’engage à remettre </w:t>
      </w:r>
      <w:r w:rsidRPr="00A63397">
        <w:rPr>
          <w:rFonts w:ascii="Verdana" w:hAnsi="Verdana" w:cstheme="minorHAnsi"/>
          <w:sz w:val="18"/>
          <w:szCs w:val="18"/>
        </w:rPr>
        <w:t>au</w:t>
      </w:r>
      <w:r>
        <w:rPr>
          <w:rFonts w:ascii="Verdana" w:hAnsi="Verdana" w:cstheme="minorHAnsi"/>
          <w:sz w:val="18"/>
          <w:szCs w:val="18"/>
        </w:rPr>
        <w:t xml:space="preserve"> Client ou à son </w:t>
      </w:r>
      <w:r w:rsidRPr="00A63397">
        <w:rPr>
          <w:rFonts w:ascii="Verdana" w:hAnsi="Verdana" w:cstheme="minorHAnsi"/>
          <w:sz w:val="18"/>
          <w:szCs w:val="18"/>
        </w:rPr>
        <w:t>prestataire de restauration</w:t>
      </w:r>
      <w:r>
        <w:rPr>
          <w:rFonts w:ascii="Verdana" w:hAnsi="Verdana" w:cstheme="minorHAnsi"/>
          <w:sz w:val="18"/>
          <w:szCs w:val="18"/>
        </w:rPr>
        <w:t>,</w:t>
      </w:r>
      <w:r w:rsidRPr="00A63397">
        <w:rPr>
          <w:rFonts w:ascii="Verdana" w:hAnsi="Verdana" w:cstheme="minorHAnsi"/>
          <w:sz w:val="18"/>
          <w:szCs w:val="18"/>
        </w:rPr>
        <w:t xml:space="preserve"> </w:t>
      </w:r>
      <w:r>
        <w:rPr>
          <w:rFonts w:ascii="Verdana" w:hAnsi="Verdana" w:cstheme="minorHAnsi"/>
          <w:sz w:val="18"/>
          <w:szCs w:val="18"/>
        </w:rPr>
        <w:t>au minimum quatre (4) B</w:t>
      </w:r>
      <w:r w:rsidRPr="00A63397">
        <w:rPr>
          <w:rFonts w:ascii="Verdana" w:hAnsi="Verdana" w:cstheme="minorHAnsi"/>
          <w:sz w:val="18"/>
          <w:szCs w:val="18"/>
        </w:rPr>
        <w:t xml:space="preserve">ox par </w:t>
      </w:r>
      <w:r>
        <w:rPr>
          <w:rFonts w:ascii="Verdana" w:hAnsi="Verdana" w:cstheme="minorHAnsi"/>
          <w:sz w:val="18"/>
          <w:szCs w:val="18"/>
        </w:rPr>
        <w:t>Bénéficiaire.</w:t>
      </w:r>
    </w:p>
    <w:p w14:paraId="315A2EE1" w14:textId="77777777" w:rsidR="002D5DF3" w:rsidRPr="00DF588F" w:rsidRDefault="002D5DF3" w:rsidP="002D5DF3">
      <w:pPr>
        <w:jc w:val="both"/>
        <w:rPr>
          <w:rFonts w:ascii="Verdana" w:hAnsi="Verdana" w:cstheme="minorHAnsi"/>
          <w:sz w:val="18"/>
          <w:szCs w:val="18"/>
        </w:rPr>
      </w:pPr>
      <w:r>
        <w:rPr>
          <w:rFonts w:ascii="Verdana" w:hAnsi="Verdana" w:cstheme="minorHAnsi"/>
          <w:sz w:val="18"/>
          <w:szCs w:val="18"/>
        </w:rPr>
        <w:t xml:space="preserve">Toute remise initiale ou complémentaire de Box a lieu </w:t>
      </w:r>
      <w:r w:rsidRPr="00DF588F">
        <w:rPr>
          <w:rFonts w:ascii="Verdana" w:hAnsi="Verdana" w:cstheme="minorHAnsi"/>
          <w:sz w:val="18"/>
          <w:szCs w:val="18"/>
        </w:rPr>
        <w:t xml:space="preserve">contre signature d’un procès - verbal de remise contradictoire (cf. modèle en annexe). </w:t>
      </w:r>
    </w:p>
    <w:p w14:paraId="6BC545B4" w14:textId="77777777" w:rsidR="002D5DF3" w:rsidRPr="00DF588F" w:rsidRDefault="002D5DF3" w:rsidP="002D5DF3">
      <w:pPr>
        <w:jc w:val="both"/>
        <w:rPr>
          <w:rFonts w:ascii="Verdana" w:hAnsi="Verdana" w:cstheme="minorHAnsi"/>
          <w:sz w:val="18"/>
          <w:szCs w:val="18"/>
        </w:rPr>
      </w:pPr>
    </w:p>
    <w:p w14:paraId="0A0FEDAD" w14:textId="77777777" w:rsidR="002D5DF3" w:rsidRDefault="002D5DF3" w:rsidP="002D5DF3">
      <w:pPr>
        <w:spacing w:after="240"/>
        <w:jc w:val="both"/>
        <w:rPr>
          <w:rFonts w:ascii="Verdana" w:hAnsi="Verdana" w:cstheme="minorHAnsi"/>
          <w:sz w:val="18"/>
          <w:szCs w:val="18"/>
        </w:rPr>
      </w:pPr>
      <w:r>
        <w:rPr>
          <w:rFonts w:ascii="Verdana" w:hAnsi="Verdana" w:cstheme="minorHAnsi"/>
          <w:sz w:val="18"/>
          <w:szCs w:val="18"/>
        </w:rPr>
        <w:t>Le Client s’engage à :</w:t>
      </w:r>
    </w:p>
    <w:p w14:paraId="201DACE3" w14:textId="77777777" w:rsidR="002D5DF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2F6F59">
        <w:rPr>
          <w:rFonts w:ascii="Verdana" w:hAnsi="Verdana" w:cstheme="minorHAnsi"/>
          <w:sz w:val="18"/>
          <w:szCs w:val="18"/>
        </w:rPr>
        <w:t>Informer immédiatement La Poste de toute détérioration de Box susceptible de porter atteinte à l’intégrité et à la conservation des Repas.</w:t>
      </w:r>
    </w:p>
    <w:p w14:paraId="2D7E4C4B" w14:textId="77777777" w:rsidR="002D5DF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2F6F59">
        <w:rPr>
          <w:rFonts w:ascii="Verdana" w:hAnsi="Verdana" w:cstheme="minorHAnsi"/>
          <w:sz w:val="18"/>
          <w:szCs w:val="18"/>
        </w:rPr>
        <w:t xml:space="preserve">Utiliser les Box pour les besoins du Contrat uniquement, respecter leur intégrité, les entretenir, ne pas </w:t>
      </w:r>
      <w:r>
        <w:rPr>
          <w:rFonts w:ascii="Verdana" w:hAnsi="Verdana" w:cstheme="minorHAnsi"/>
          <w:sz w:val="18"/>
          <w:szCs w:val="18"/>
        </w:rPr>
        <w:t xml:space="preserve">les </w:t>
      </w:r>
      <w:r w:rsidRPr="002F6F59">
        <w:rPr>
          <w:rFonts w:ascii="Verdana" w:hAnsi="Verdana" w:cstheme="minorHAnsi"/>
          <w:sz w:val="18"/>
          <w:szCs w:val="18"/>
        </w:rPr>
        <w:t>céder ni les mettre à disposition d’un tiers.</w:t>
      </w:r>
    </w:p>
    <w:p w14:paraId="6141AC31" w14:textId="77777777" w:rsidR="002D5DF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2F6F59">
        <w:rPr>
          <w:rFonts w:ascii="Verdana" w:hAnsi="Verdana" w:cstheme="minorHAnsi"/>
          <w:sz w:val="18"/>
          <w:szCs w:val="18"/>
        </w:rPr>
        <w:t xml:space="preserve">Restituer les Box </w:t>
      </w:r>
      <w:r>
        <w:rPr>
          <w:rFonts w:ascii="Verdana" w:hAnsi="Verdana" w:cstheme="minorHAnsi"/>
          <w:sz w:val="18"/>
          <w:szCs w:val="18"/>
        </w:rPr>
        <w:t>à La Poste en fin de Contrat,</w:t>
      </w:r>
      <w:r w:rsidRPr="00BD56A3">
        <w:rPr>
          <w:rFonts w:ascii="Verdana" w:hAnsi="Verdana" w:cstheme="minorHAnsi"/>
          <w:sz w:val="18"/>
          <w:szCs w:val="18"/>
        </w:rPr>
        <w:t xml:space="preserve"> </w:t>
      </w:r>
      <w:r w:rsidRPr="00DF588F">
        <w:rPr>
          <w:rFonts w:ascii="Verdana" w:hAnsi="Verdana" w:cstheme="minorHAnsi"/>
          <w:sz w:val="18"/>
          <w:szCs w:val="18"/>
        </w:rPr>
        <w:t>contre signature d’un procès - verbal de re</w:t>
      </w:r>
      <w:r>
        <w:rPr>
          <w:rFonts w:ascii="Verdana" w:hAnsi="Verdana" w:cstheme="minorHAnsi"/>
          <w:sz w:val="18"/>
          <w:szCs w:val="18"/>
        </w:rPr>
        <w:t>stitution</w:t>
      </w:r>
      <w:r w:rsidRPr="00DF588F">
        <w:rPr>
          <w:rFonts w:ascii="Verdana" w:hAnsi="Verdana" w:cstheme="minorHAnsi"/>
          <w:sz w:val="18"/>
          <w:szCs w:val="18"/>
        </w:rPr>
        <w:t xml:space="preserve"> contradictoire (cf. modèle en annexe)</w:t>
      </w:r>
      <w:r w:rsidRPr="002F6F59">
        <w:rPr>
          <w:rFonts w:ascii="Verdana" w:hAnsi="Verdana" w:cstheme="minorHAnsi"/>
          <w:sz w:val="18"/>
          <w:szCs w:val="18"/>
        </w:rPr>
        <w:t>.</w:t>
      </w:r>
    </w:p>
    <w:p w14:paraId="2F77B090" w14:textId="77777777" w:rsidR="002D5DF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2F6F59">
        <w:rPr>
          <w:rFonts w:ascii="Verdana" w:hAnsi="Verdana" w:cstheme="minorHAnsi"/>
          <w:sz w:val="18"/>
          <w:szCs w:val="18"/>
        </w:rPr>
        <w:t xml:space="preserve">En cas de perte ou de détérioration par sa faute (autrement que par une usure normale) en cours de Contrat, ou de </w:t>
      </w:r>
      <w:proofErr w:type="gramStart"/>
      <w:r w:rsidRPr="002F6F59">
        <w:rPr>
          <w:rFonts w:ascii="Verdana" w:hAnsi="Verdana" w:cstheme="minorHAnsi"/>
          <w:sz w:val="18"/>
          <w:szCs w:val="18"/>
        </w:rPr>
        <w:t>non restitution</w:t>
      </w:r>
      <w:proofErr w:type="gramEnd"/>
      <w:r w:rsidRPr="002F6F59">
        <w:rPr>
          <w:rFonts w:ascii="Verdana" w:hAnsi="Verdana" w:cstheme="minorHAnsi"/>
          <w:sz w:val="18"/>
          <w:szCs w:val="18"/>
        </w:rPr>
        <w:t xml:space="preserve"> ou de restitution incomplète en fin de Contrat, rembourser à La Poste la valeur des Box et accessoires, s</w:t>
      </w:r>
      <w:r>
        <w:rPr>
          <w:rFonts w:ascii="Verdana" w:hAnsi="Verdana" w:cstheme="minorHAnsi"/>
          <w:sz w:val="18"/>
          <w:szCs w:val="18"/>
        </w:rPr>
        <w:t>ur production de justificatifs</w:t>
      </w:r>
      <w:r w:rsidRPr="002F6F59">
        <w:rPr>
          <w:rFonts w:ascii="Verdana" w:hAnsi="Verdana" w:cstheme="minorHAnsi"/>
          <w:sz w:val="18"/>
          <w:szCs w:val="18"/>
        </w:rPr>
        <w:t>.</w:t>
      </w:r>
    </w:p>
    <w:p w14:paraId="1DBD5935" w14:textId="77777777" w:rsidR="002D5DF3" w:rsidRPr="00A84A4D"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2F6F59">
        <w:rPr>
          <w:rFonts w:ascii="Verdana" w:hAnsi="Verdana" w:cstheme="minorHAnsi"/>
          <w:sz w:val="18"/>
          <w:szCs w:val="18"/>
        </w:rPr>
        <w:t xml:space="preserve"> </w:t>
      </w:r>
      <w:r>
        <w:rPr>
          <w:rFonts w:ascii="Verdana" w:hAnsi="Verdana" w:cstheme="minorHAnsi"/>
          <w:sz w:val="18"/>
          <w:szCs w:val="18"/>
        </w:rPr>
        <w:t xml:space="preserve">En </w:t>
      </w:r>
      <w:r w:rsidRPr="00766CEA">
        <w:rPr>
          <w:rFonts w:ascii="Verdana" w:hAnsi="Verdana" w:cstheme="minorHAnsi"/>
          <w:sz w:val="18"/>
          <w:szCs w:val="18"/>
        </w:rPr>
        <w:t xml:space="preserve">cas </w:t>
      </w:r>
      <w:r>
        <w:rPr>
          <w:rFonts w:ascii="Verdana" w:hAnsi="Verdana" w:cstheme="minorHAnsi"/>
          <w:sz w:val="18"/>
          <w:szCs w:val="18"/>
        </w:rPr>
        <w:t>d’</w:t>
      </w:r>
      <w:r w:rsidRPr="00766CEA">
        <w:rPr>
          <w:rFonts w:ascii="Verdana" w:hAnsi="Verdana" w:cstheme="minorHAnsi"/>
          <w:sz w:val="18"/>
          <w:szCs w:val="18"/>
        </w:rPr>
        <w:t>utilis</w:t>
      </w:r>
      <w:r>
        <w:rPr>
          <w:rFonts w:ascii="Verdana" w:hAnsi="Verdana" w:cstheme="minorHAnsi"/>
          <w:sz w:val="18"/>
          <w:szCs w:val="18"/>
        </w:rPr>
        <w:t xml:space="preserve">ation </w:t>
      </w:r>
      <w:r w:rsidRPr="00766CEA">
        <w:rPr>
          <w:rFonts w:ascii="Verdana" w:hAnsi="Verdana" w:cstheme="minorHAnsi"/>
          <w:sz w:val="18"/>
          <w:szCs w:val="18"/>
        </w:rPr>
        <w:t>des chariots roulants de La Poste, dénommés « CE 30 », pour charger les Box, respecter les conditions d’utilisation ci-dessus.</w:t>
      </w:r>
    </w:p>
    <w:p w14:paraId="04141861" w14:textId="77777777" w:rsidR="002D5DF3" w:rsidRDefault="002D5DF3" w:rsidP="002D5DF3">
      <w:pPr>
        <w:jc w:val="both"/>
        <w:rPr>
          <w:rFonts w:ascii="Verdana" w:hAnsi="Verdana" w:cstheme="minorHAnsi"/>
          <w:b/>
          <w:sz w:val="18"/>
          <w:szCs w:val="18"/>
        </w:rPr>
      </w:pPr>
    </w:p>
    <w:p w14:paraId="11F7F7B7" w14:textId="77777777" w:rsidR="002D5DF3" w:rsidRDefault="002D5DF3" w:rsidP="002D5DF3">
      <w:pPr>
        <w:jc w:val="both"/>
        <w:rPr>
          <w:rFonts w:ascii="Verdana" w:hAnsi="Verdana" w:cstheme="minorHAnsi"/>
          <w:b/>
          <w:sz w:val="18"/>
          <w:szCs w:val="18"/>
        </w:rPr>
      </w:pPr>
    </w:p>
    <w:p w14:paraId="70E6DCFA" w14:textId="77777777" w:rsidR="002D5DF3" w:rsidRDefault="002D5DF3" w:rsidP="002D5DF3">
      <w:pPr>
        <w:jc w:val="both"/>
        <w:rPr>
          <w:rFonts w:ascii="Verdana" w:hAnsi="Verdana" w:cstheme="minorHAnsi"/>
          <w:b/>
          <w:sz w:val="18"/>
          <w:szCs w:val="18"/>
        </w:rPr>
      </w:pPr>
    </w:p>
    <w:p w14:paraId="63B8572F" w14:textId="77777777" w:rsidR="002D5DF3" w:rsidRDefault="002D5DF3" w:rsidP="002D5DF3">
      <w:pPr>
        <w:jc w:val="both"/>
        <w:rPr>
          <w:rFonts w:ascii="Verdana" w:hAnsi="Verdana" w:cstheme="minorHAnsi"/>
          <w:b/>
          <w:sz w:val="18"/>
          <w:szCs w:val="18"/>
        </w:rPr>
      </w:pPr>
    </w:p>
    <w:p w14:paraId="31F5835C" w14:textId="77777777" w:rsidR="002D5DF3" w:rsidRDefault="002D5DF3" w:rsidP="002D5DF3">
      <w:pPr>
        <w:jc w:val="both"/>
        <w:rPr>
          <w:rFonts w:ascii="Verdana" w:hAnsi="Verdana" w:cstheme="minorHAnsi"/>
          <w:b/>
          <w:sz w:val="18"/>
          <w:szCs w:val="18"/>
        </w:rPr>
      </w:pPr>
    </w:p>
    <w:p w14:paraId="32BD3FBB" w14:textId="77777777" w:rsidR="002D5DF3" w:rsidRPr="00FF4B66" w:rsidRDefault="002D5DF3" w:rsidP="002D5DF3">
      <w:pPr>
        <w:jc w:val="both"/>
        <w:rPr>
          <w:rFonts w:ascii="Verdana" w:hAnsi="Verdana" w:cstheme="minorHAnsi"/>
          <w:b/>
          <w:sz w:val="18"/>
          <w:szCs w:val="18"/>
        </w:rPr>
      </w:pPr>
      <w:r>
        <w:rPr>
          <w:rFonts w:ascii="Verdana" w:hAnsi="Verdana" w:cstheme="minorHAnsi"/>
          <w:b/>
          <w:sz w:val="18"/>
          <w:szCs w:val="18"/>
        </w:rPr>
        <w:t xml:space="preserve">4.3   </w:t>
      </w:r>
      <w:r w:rsidRPr="00FF4B66">
        <w:rPr>
          <w:rFonts w:ascii="Verdana" w:hAnsi="Verdana" w:cstheme="minorHAnsi"/>
          <w:b/>
          <w:sz w:val="18"/>
          <w:szCs w:val="18"/>
        </w:rPr>
        <w:t xml:space="preserve">Conditionnement </w:t>
      </w:r>
      <w:r w:rsidRPr="00741F2F">
        <w:rPr>
          <w:rFonts w:ascii="Verdana" w:hAnsi="Verdana" w:cstheme="minorHAnsi"/>
          <w:b/>
          <w:sz w:val="18"/>
          <w:szCs w:val="18"/>
        </w:rPr>
        <w:t>en Box par le Client</w:t>
      </w:r>
      <w:r>
        <w:rPr>
          <w:rFonts w:ascii="Verdana" w:hAnsi="Verdana" w:cstheme="minorHAnsi"/>
          <w:b/>
          <w:sz w:val="18"/>
          <w:szCs w:val="18"/>
        </w:rPr>
        <w:t xml:space="preserve"> </w:t>
      </w:r>
    </w:p>
    <w:p w14:paraId="2142C493" w14:textId="77777777" w:rsidR="002D5DF3" w:rsidRDefault="002D5DF3" w:rsidP="002D5DF3">
      <w:pPr>
        <w:jc w:val="both"/>
        <w:rPr>
          <w:rFonts w:ascii="Verdana" w:hAnsi="Verdana" w:cstheme="minorHAnsi"/>
          <w:sz w:val="18"/>
          <w:szCs w:val="18"/>
        </w:rPr>
      </w:pPr>
    </w:p>
    <w:p w14:paraId="197BF480" w14:textId="77777777" w:rsidR="002D5DF3" w:rsidRDefault="002D5DF3" w:rsidP="002D5DF3">
      <w:pPr>
        <w:jc w:val="both"/>
        <w:rPr>
          <w:rFonts w:ascii="Verdana" w:hAnsi="Verdana" w:cstheme="minorHAnsi"/>
          <w:sz w:val="18"/>
          <w:szCs w:val="18"/>
        </w:rPr>
      </w:pPr>
      <w:r>
        <w:rPr>
          <w:rFonts w:ascii="Verdana" w:hAnsi="Verdana" w:cstheme="minorHAnsi"/>
          <w:sz w:val="18"/>
          <w:szCs w:val="18"/>
        </w:rPr>
        <w:t>Le Client s’engage à :</w:t>
      </w:r>
    </w:p>
    <w:p w14:paraId="435F95B6" w14:textId="77777777" w:rsidR="002D5DF3" w:rsidRPr="003F1AEE" w:rsidRDefault="002D5DF3" w:rsidP="002D5DF3">
      <w:pPr>
        <w:pStyle w:val="Paragraphedeliste"/>
        <w:jc w:val="both"/>
        <w:rPr>
          <w:rFonts w:ascii="Verdana" w:hAnsi="Verdana" w:cstheme="minorHAnsi"/>
          <w:sz w:val="18"/>
          <w:szCs w:val="18"/>
        </w:rPr>
      </w:pPr>
    </w:p>
    <w:p w14:paraId="44FF3E55" w14:textId="77777777" w:rsidR="002D5DF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Pr>
          <w:rFonts w:ascii="Verdana" w:hAnsi="Verdana" w:cstheme="minorHAnsi"/>
          <w:sz w:val="18"/>
          <w:szCs w:val="18"/>
        </w:rPr>
        <w:t>Conditionner les R</w:t>
      </w:r>
      <w:r w:rsidRPr="00583A55">
        <w:rPr>
          <w:rFonts w:ascii="Verdana" w:hAnsi="Verdana" w:cstheme="minorHAnsi"/>
          <w:sz w:val="18"/>
          <w:szCs w:val="18"/>
        </w:rPr>
        <w:t>epas et le pain dans des contenants scellés hermétiquement, de type barquette, placés dans des Sacs puis dans des Box,</w:t>
      </w:r>
      <w:r>
        <w:rPr>
          <w:rFonts w:ascii="Verdana" w:hAnsi="Verdana" w:cstheme="minorHAnsi"/>
          <w:sz w:val="18"/>
          <w:szCs w:val="18"/>
        </w:rPr>
        <w:t xml:space="preserve"> en respectant </w:t>
      </w:r>
      <w:r w:rsidRPr="00617C69">
        <w:rPr>
          <w:rFonts w:ascii="Verdana" w:hAnsi="Verdana" w:cstheme="minorHAnsi"/>
          <w:sz w:val="18"/>
          <w:szCs w:val="18"/>
        </w:rPr>
        <w:t xml:space="preserve">rigoureusement le « Protocole de mise en Box » figurant en annexe du Contrat, de manière </w:t>
      </w:r>
      <w:r>
        <w:rPr>
          <w:rFonts w:ascii="Verdana" w:hAnsi="Verdana" w:cstheme="minorHAnsi"/>
          <w:sz w:val="18"/>
          <w:szCs w:val="18"/>
        </w:rPr>
        <w:t>à garantir la sécurité sanitaire des Repas et leur maintien en température dirigée jusqu’à la livraison au Bénéficiaire.</w:t>
      </w:r>
    </w:p>
    <w:p w14:paraId="0F072D35" w14:textId="77777777" w:rsidR="002D5DF3" w:rsidRPr="00914795"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914795">
        <w:rPr>
          <w:rFonts w:ascii="Verdana" w:hAnsi="Verdana" w:cstheme="minorHAnsi"/>
          <w:sz w:val="18"/>
          <w:szCs w:val="18"/>
        </w:rPr>
        <w:t xml:space="preserve">Charger les plaques eutectiques en froid de façon suffisante, et placer correctement les plaques eutectiques dans les </w:t>
      </w:r>
      <w:r>
        <w:rPr>
          <w:rFonts w:ascii="Verdana" w:hAnsi="Verdana" w:cstheme="minorHAnsi"/>
          <w:sz w:val="18"/>
          <w:szCs w:val="18"/>
        </w:rPr>
        <w:t>B</w:t>
      </w:r>
      <w:r w:rsidRPr="00914795">
        <w:rPr>
          <w:rFonts w:ascii="Verdana" w:hAnsi="Verdana" w:cstheme="minorHAnsi"/>
          <w:sz w:val="18"/>
          <w:szCs w:val="18"/>
        </w:rPr>
        <w:t>ox (</w:t>
      </w:r>
      <w:proofErr w:type="spellStart"/>
      <w:r w:rsidRPr="00914795">
        <w:rPr>
          <w:rFonts w:ascii="Verdana" w:hAnsi="Verdana" w:cstheme="minorHAnsi"/>
          <w:sz w:val="18"/>
          <w:szCs w:val="18"/>
        </w:rPr>
        <w:t>cf</w:t>
      </w:r>
      <w:proofErr w:type="spellEnd"/>
      <w:r w:rsidRPr="00914795">
        <w:rPr>
          <w:rFonts w:ascii="Verdana" w:hAnsi="Verdana" w:cstheme="minorHAnsi"/>
          <w:sz w:val="18"/>
          <w:szCs w:val="18"/>
        </w:rPr>
        <w:t xml:space="preserve"> Protocole de mise en box) </w:t>
      </w:r>
    </w:p>
    <w:p w14:paraId="215DF411" w14:textId="77777777" w:rsidR="002D5DF3" w:rsidRPr="00583A55"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583A55">
        <w:rPr>
          <w:rFonts w:ascii="Verdana" w:hAnsi="Verdana" w:cstheme="minorHAnsi"/>
          <w:sz w:val="18"/>
          <w:szCs w:val="18"/>
        </w:rPr>
        <w:t xml:space="preserve">Fermer les Box à une heure compatible avec la fin de la plage horaire de livraison </w:t>
      </w:r>
      <w:r>
        <w:rPr>
          <w:rFonts w:ascii="Verdana" w:hAnsi="Verdana" w:cstheme="minorHAnsi"/>
          <w:sz w:val="18"/>
          <w:szCs w:val="18"/>
        </w:rPr>
        <w:t xml:space="preserve">de La Poste, afin de limiter à </w:t>
      </w:r>
      <w:r w:rsidRPr="00583A55">
        <w:rPr>
          <w:rFonts w:ascii="Verdana" w:hAnsi="Verdana" w:cstheme="minorHAnsi"/>
          <w:sz w:val="18"/>
          <w:szCs w:val="18"/>
        </w:rPr>
        <w:t>trente (30) heures au maximum l’entreposage des denrées alimentaires dans les Box.</w:t>
      </w:r>
    </w:p>
    <w:p w14:paraId="2C68F14A" w14:textId="77777777" w:rsidR="002D5DF3" w:rsidRPr="001D0891"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sidRPr="001D0891">
        <w:rPr>
          <w:rFonts w:ascii="Verdana" w:hAnsi="Verdana" w:cstheme="minorHAnsi"/>
          <w:sz w:val="18"/>
          <w:szCs w:val="18"/>
        </w:rPr>
        <w:t xml:space="preserve">Etiqueter chaque Box avec </w:t>
      </w:r>
      <w:r>
        <w:rPr>
          <w:rFonts w:ascii="Verdana" w:hAnsi="Verdana" w:cstheme="minorHAnsi"/>
          <w:sz w:val="18"/>
          <w:szCs w:val="18"/>
        </w:rPr>
        <w:t>le nom, prénom et l’adresse du Bénéficiaire</w:t>
      </w:r>
      <w:r w:rsidRPr="001D0891">
        <w:rPr>
          <w:rFonts w:ascii="Verdana" w:hAnsi="Verdana" w:cstheme="minorHAnsi"/>
          <w:sz w:val="18"/>
          <w:szCs w:val="18"/>
        </w:rPr>
        <w:t xml:space="preserve">. </w:t>
      </w:r>
      <w:r>
        <w:rPr>
          <w:rFonts w:ascii="Verdana" w:hAnsi="Verdana" w:cstheme="minorHAnsi"/>
          <w:sz w:val="18"/>
          <w:szCs w:val="18"/>
        </w:rPr>
        <w:t>I</w:t>
      </w:r>
      <w:r w:rsidRPr="001D0891">
        <w:rPr>
          <w:rFonts w:ascii="Verdana" w:hAnsi="Verdana" w:cstheme="minorHAnsi"/>
          <w:sz w:val="18"/>
          <w:szCs w:val="18"/>
        </w:rPr>
        <w:t>mpri</w:t>
      </w:r>
      <w:r>
        <w:rPr>
          <w:rFonts w:ascii="Verdana" w:hAnsi="Verdana" w:cstheme="minorHAnsi"/>
          <w:sz w:val="18"/>
          <w:szCs w:val="18"/>
        </w:rPr>
        <w:t xml:space="preserve">mer à cet effet </w:t>
      </w:r>
      <w:r w:rsidRPr="001D0891">
        <w:rPr>
          <w:rFonts w:ascii="Verdana" w:hAnsi="Verdana" w:cstheme="minorHAnsi"/>
          <w:sz w:val="18"/>
          <w:szCs w:val="18"/>
        </w:rPr>
        <w:t>une étiquette sans code à barre, à partir des informations intégrées dans l</w:t>
      </w:r>
      <w:r>
        <w:rPr>
          <w:rFonts w:ascii="Verdana" w:hAnsi="Verdana" w:cstheme="minorHAnsi"/>
          <w:sz w:val="18"/>
          <w:szCs w:val="18"/>
        </w:rPr>
        <w:t>a Station</w:t>
      </w:r>
      <w:r w:rsidRPr="001D0891">
        <w:rPr>
          <w:rFonts w:ascii="Verdana" w:hAnsi="Verdana" w:cstheme="minorHAnsi"/>
          <w:sz w:val="18"/>
          <w:szCs w:val="18"/>
        </w:rPr>
        <w:t xml:space="preserve">. </w:t>
      </w:r>
    </w:p>
    <w:p w14:paraId="50FD77CD" w14:textId="77777777" w:rsidR="002D5DF3" w:rsidRPr="008F5C03" w:rsidRDefault="002D5DF3" w:rsidP="002D5DF3">
      <w:pPr>
        <w:pStyle w:val="Paragraphedeliste"/>
        <w:numPr>
          <w:ilvl w:val="0"/>
          <w:numId w:val="4"/>
        </w:numPr>
        <w:spacing w:after="240"/>
        <w:ind w:left="284" w:hanging="142"/>
        <w:contextualSpacing w:val="0"/>
        <w:jc w:val="both"/>
        <w:rPr>
          <w:rFonts w:ascii="Verdana" w:hAnsi="Verdana" w:cstheme="minorHAnsi"/>
          <w:sz w:val="18"/>
          <w:szCs w:val="18"/>
        </w:rPr>
      </w:pPr>
      <w:r>
        <w:rPr>
          <w:rFonts w:ascii="Verdana" w:hAnsi="Verdana" w:cstheme="minorHAnsi"/>
          <w:sz w:val="18"/>
          <w:szCs w:val="18"/>
        </w:rPr>
        <w:t>Nettoyer et désinfecter les B</w:t>
      </w:r>
      <w:r w:rsidRPr="001D0891">
        <w:rPr>
          <w:rFonts w:ascii="Verdana" w:hAnsi="Verdana" w:cstheme="minorHAnsi"/>
          <w:sz w:val="18"/>
          <w:szCs w:val="18"/>
        </w:rPr>
        <w:t xml:space="preserve">ox, les </w:t>
      </w:r>
      <w:r>
        <w:rPr>
          <w:rFonts w:ascii="Verdana" w:hAnsi="Verdana" w:cstheme="minorHAnsi"/>
          <w:sz w:val="18"/>
          <w:szCs w:val="18"/>
        </w:rPr>
        <w:t xml:space="preserve">stocker et les </w:t>
      </w:r>
      <w:r w:rsidRPr="001D0891">
        <w:rPr>
          <w:rFonts w:ascii="Verdana" w:hAnsi="Verdana" w:cstheme="minorHAnsi"/>
          <w:sz w:val="18"/>
          <w:szCs w:val="18"/>
        </w:rPr>
        <w:t>utiliser avec tout le soin nécessaire</w:t>
      </w:r>
      <w:r>
        <w:rPr>
          <w:rFonts w:ascii="Verdana" w:hAnsi="Verdana" w:cstheme="minorHAnsi"/>
          <w:sz w:val="18"/>
          <w:szCs w:val="18"/>
        </w:rPr>
        <w:t>.</w:t>
      </w:r>
      <w:r w:rsidRPr="00D82432">
        <w:rPr>
          <w:rFonts w:ascii="Verdana" w:hAnsi="Verdana" w:cstheme="minorHAnsi"/>
          <w:sz w:val="18"/>
          <w:szCs w:val="18"/>
        </w:rPr>
        <w:t xml:space="preserve"> </w:t>
      </w:r>
      <w:r>
        <w:rPr>
          <w:rFonts w:ascii="Verdana" w:hAnsi="Verdana" w:cstheme="minorHAnsi"/>
          <w:sz w:val="18"/>
          <w:szCs w:val="18"/>
        </w:rPr>
        <w:t xml:space="preserve">Respecter les </w:t>
      </w:r>
      <w:r w:rsidRPr="008F5C03">
        <w:rPr>
          <w:rFonts w:ascii="Verdana" w:hAnsi="Verdana" w:cstheme="minorHAnsi"/>
          <w:sz w:val="18"/>
          <w:szCs w:val="18"/>
        </w:rPr>
        <w:t xml:space="preserve">« Préconisations de nettoyage de pièces en EPP moulées » du fournisseur (figurant en annexe).  </w:t>
      </w:r>
    </w:p>
    <w:p w14:paraId="0FD20448" w14:textId="77777777" w:rsidR="00703D60" w:rsidRDefault="00703D60"/>
    <w:sectPr w:rsidR="00703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B2FEA"/>
    <w:multiLevelType w:val="hybridMultilevel"/>
    <w:tmpl w:val="002A8E7A"/>
    <w:lvl w:ilvl="0" w:tplc="040C0001">
      <w:start w:val="1"/>
      <w:numFmt w:val="bullet"/>
      <w:lvlText w:val=""/>
      <w:lvlJc w:val="left"/>
      <w:pPr>
        <w:ind w:left="360" w:hanging="360"/>
      </w:pPr>
      <w:rPr>
        <w:rFonts w:ascii="Symbol" w:hAnsi="Symbol" w:hint="default"/>
      </w:rPr>
    </w:lvl>
    <w:lvl w:ilvl="1" w:tplc="040C000D">
      <w:start w:val="1"/>
      <w:numFmt w:val="bullet"/>
      <w:lvlText w:val=""/>
      <w:lvlJc w:val="left"/>
      <w:pPr>
        <w:ind w:left="928" w:hanging="360"/>
      </w:pPr>
      <w:rPr>
        <w:rFonts w:ascii="Wingdings" w:hAnsi="Wingdings"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15:restartNumberingAfterBreak="0">
    <w:nsid w:val="277563AA"/>
    <w:multiLevelType w:val="hybridMultilevel"/>
    <w:tmpl w:val="CAF23A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98D737A"/>
    <w:multiLevelType w:val="hybridMultilevel"/>
    <w:tmpl w:val="B57AA4A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E27A7"/>
    <w:multiLevelType w:val="hybridMultilevel"/>
    <w:tmpl w:val="C3D0A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204562"/>
    <w:multiLevelType w:val="hybridMultilevel"/>
    <w:tmpl w:val="F706620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num w:numId="1" w16cid:durableId="1415905548">
    <w:abstractNumId w:val="4"/>
  </w:num>
  <w:num w:numId="2" w16cid:durableId="1935630057">
    <w:abstractNumId w:val="1"/>
  </w:num>
  <w:num w:numId="3" w16cid:durableId="1091045058">
    <w:abstractNumId w:val="2"/>
  </w:num>
  <w:num w:numId="4" w16cid:durableId="253051834">
    <w:abstractNumId w:val="0"/>
  </w:num>
  <w:num w:numId="5" w16cid:durableId="1446316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1A"/>
    <w:rsid w:val="00264177"/>
    <w:rsid w:val="002D5DF3"/>
    <w:rsid w:val="00703D60"/>
    <w:rsid w:val="00706E6E"/>
    <w:rsid w:val="007666C5"/>
    <w:rsid w:val="00807183"/>
    <w:rsid w:val="009050C4"/>
    <w:rsid w:val="00B15C97"/>
    <w:rsid w:val="00DF6A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C7C3"/>
  <w15:chartTrackingRefBased/>
  <w15:docId w15:val="{F4FBAD1A-CFA9-43EA-A6C3-483C20F2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1A"/>
    <w:pPr>
      <w:spacing w:after="0" w:line="240" w:lineRule="auto"/>
    </w:pPr>
    <w:rPr>
      <w:rFonts w:ascii="Times New Roman" w:eastAsia="Times New Roman" w:hAnsi="Times New Roman" w:cs="Times New Roman"/>
      <w:kern w:val="0"/>
      <w:sz w:val="20"/>
      <w:szCs w:val="20"/>
      <w:lang w:eastAsia="fr-FR"/>
      <w14:ligatures w14:val="none"/>
    </w:rPr>
  </w:style>
  <w:style w:type="paragraph" w:styleId="Titre1">
    <w:name w:val="heading 1"/>
    <w:basedOn w:val="Normal"/>
    <w:next w:val="Normal"/>
    <w:link w:val="Titre1Car"/>
    <w:uiPriority w:val="9"/>
    <w:qFormat/>
    <w:rsid w:val="00DF6A1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DF6A1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DF6A1A"/>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nhideWhenUsed/>
    <w:qFormat/>
    <w:rsid w:val="00DF6A1A"/>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DF6A1A"/>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DF6A1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6A1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6A1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6A1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A1A"/>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DF6A1A"/>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F6A1A"/>
    <w:rPr>
      <w:rFonts w:eastAsiaTheme="majorEastAsia" w:cstheme="majorBidi"/>
      <w:color w:val="2E74B5" w:themeColor="accent1" w:themeShade="BF"/>
      <w:sz w:val="28"/>
      <w:szCs w:val="28"/>
    </w:rPr>
  </w:style>
  <w:style w:type="character" w:customStyle="1" w:styleId="Titre4Car">
    <w:name w:val="Titre 4 Car"/>
    <w:basedOn w:val="Policepardfaut"/>
    <w:link w:val="Titre4"/>
    <w:rsid w:val="00DF6A1A"/>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DF6A1A"/>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DF6A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6A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6A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6A1A"/>
    <w:rPr>
      <w:rFonts w:eastAsiaTheme="majorEastAsia" w:cstheme="majorBidi"/>
      <w:color w:val="272727" w:themeColor="text1" w:themeTint="D8"/>
    </w:rPr>
  </w:style>
  <w:style w:type="paragraph" w:styleId="Titre">
    <w:name w:val="Title"/>
    <w:basedOn w:val="Normal"/>
    <w:next w:val="Normal"/>
    <w:link w:val="TitreCar"/>
    <w:uiPriority w:val="10"/>
    <w:qFormat/>
    <w:rsid w:val="00DF6A1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6A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6A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6A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6A1A"/>
    <w:pPr>
      <w:spacing w:before="160"/>
      <w:jc w:val="center"/>
    </w:pPr>
    <w:rPr>
      <w:i/>
      <w:iCs/>
      <w:color w:val="404040" w:themeColor="text1" w:themeTint="BF"/>
    </w:rPr>
  </w:style>
  <w:style w:type="character" w:customStyle="1" w:styleId="CitationCar">
    <w:name w:val="Citation Car"/>
    <w:basedOn w:val="Policepardfaut"/>
    <w:link w:val="Citation"/>
    <w:uiPriority w:val="29"/>
    <w:rsid w:val="00DF6A1A"/>
    <w:rPr>
      <w:i/>
      <w:iCs/>
      <w:color w:val="404040" w:themeColor="text1" w:themeTint="BF"/>
    </w:rPr>
  </w:style>
  <w:style w:type="paragraph" w:styleId="Paragraphedeliste">
    <w:name w:val="List Paragraph"/>
    <w:aliases w:val="Puce focus,Contact,R1,Conclu,Par. de liste,ONX_Paragraphe de liste,6 pt paragraphe carré,List Paragraph,texte de base,Paragraphe de liste 2,calia titre 3,Paragraphe,Normal bullet 2,List Paragraph1,Titree 2,texte tableau,lp1,P1 Pharos"/>
    <w:basedOn w:val="Normal"/>
    <w:link w:val="ParagraphedelisteCar"/>
    <w:uiPriority w:val="34"/>
    <w:qFormat/>
    <w:rsid w:val="00DF6A1A"/>
    <w:pPr>
      <w:ind w:left="720"/>
      <w:contextualSpacing/>
    </w:pPr>
  </w:style>
  <w:style w:type="character" w:styleId="Accentuationintense">
    <w:name w:val="Intense Emphasis"/>
    <w:basedOn w:val="Policepardfaut"/>
    <w:uiPriority w:val="21"/>
    <w:qFormat/>
    <w:rsid w:val="00DF6A1A"/>
    <w:rPr>
      <w:i/>
      <w:iCs/>
      <w:color w:val="2E74B5" w:themeColor="accent1" w:themeShade="BF"/>
    </w:rPr>
  </w:style>
  <w:style w:type="paragraph" w:styleId="Citationintense">
    <w:name w:val="Intense Quote"/>
    <w:basedOn w:val="Normal"/>
    <w:next w:val="Normal"/>
    <w:link w:val="CitationintenseCar"/>
    <w:uiPriority w:val="30"/>
    <w:qFormat/>
    <w:rsid w:val="00DF6A1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DF6A1A"/>
    <w:rPr>
      <w:i/>
      <w:iCs/>
      <w:color w:val="2E74B5" w:themeColor="accent1" w:themeShade="BF"/>
    </w:rPr>
  </w:style>
  <w:style w:type="character" w:styleId="Rfrenceintense">
    <w:name w:val="Intense Reference"/>
    <w:basedOn w:val="Policepardfaut"/>
    <w:uiPriority w:val="32"/>
    <w:qFormat/>
    <w:rsid w:val="00DF6A1A"/>
    <w:rPr>
      <w:b/>
      <w:bCs/>
      <w:smallCaps/>
      <w:color w:val="2E74B5" w:themeColor="accent1" w:themeShade="BF"/>
      <w:spacing w:val="5"/>
    </w:rPr>
  </w:style>
  <w:style w:type="paragraph" w:styleId="Corpsdetexte2">
    <w:name w:val="Body Text 2"/>
    <w:basedOn w:val="Normal"/>
    <w:link w:val="Corpsdetexte2Car"/>
    <w:rsid w:val="00DF6A1A"/>
    <w:pPr>
      <w:jc w:val="both"/>
    </w:pPr>
    <w:rPr>
      <w:rFonts w:ascii="Arial Narrow" w:hAnsi="Arial Narrow"/>
      <w:sz w:val="24"/>
      <w:szCs w:val="24"/>
    </w:rPr>
  </w:style>
  <w:style w:type="character" w:customStyle="1" w:styleId="Corpsdetexte2Car">
    <w:name w:val="Corps de texte 2 Car"/>
    <w:basedOn w:val="Policepardfaut"/>
    <w:link w:val="Corpsdetexte2"/>
    <w:rsid w:val="00DF6A1A"/>
    <w:rPr>
      <w:rFonts w:ascii="Arial Narrow" w:eastAsia="Times New Roman" w:hAnsi="Arial Narrow" w:cs="Times New Roman"/>
      <w:kern w:val="0"/>
      <w:sz w:val="24"/>
      <w:szCs w:val="24"/>
      <w:lang w:eastAsia="fr-FR"/>
      <w14:ligatures w14:val="none"/>
    </w:rPr>
  </w:style>
  <w:style w:type="character" w:customStyle="1" w:styleId="ParagraphedelisteCar">
    <w:name w:val="Paragraphe de liste Car"/>
    <w:aliases w:val="Puce focus Car,Contact Car,R1 Car,Conclu Car,Par. de liste Car,ONX_Paragraphe de liste Car,6 pt paragraphe carré Car,List Paragraph Car,texte de base Car,Paragraphe de liste 2 Car,calia titre 3 Car,Paragraphe Car,Titree 2 Car"/>
    <w:basedOn w:val="Policepardfaut"/>
    <w:link w:val="Paragraphedeliste"/>
    <w:uiPriority w:val="34"/>
    <w:qFormat/>
    <w:locked/>
    <w:rsid w:val="002D5DF3"/>
    <w:rPr>
      <w:rFonts w:ascii="Times New Roman" w:eastAsia="Times New Roman" w:hAnsi="Times New Roman" w:cs="Times New Roman"/>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anne.muguet@laposte.fr</DisplayName>
        <AccountId>240</AccountId>
        <AccountType/>
      </UserInfo>
    </Jurister_x00e9_f_x00e9_rent>
    <domaine xmlns="beec32a9-2f86-4d36-8d48-f87b8003c444">clauses spécifiques sur mesure</domaine>
    <Modop xmlns="beec32a9-2f86-4d36-8d48-f87b8003c444">logissimo fresh PPP </Modop>
    <typologiedem_x00e9_tier xmlns="beec32a9-2f86-4d36-8d48-f87b8003c444">BSCC_commercial</typologiedem_x00e9_tier>
    <datedemise_x00e0_jourdelaclause xmlns="beec32a9-2f86-4d36-8d48-f87b8003c444">2025-06-29T22:00:00+00:00</datedemise_x00e0_jourdelaclause>
    <Familledeclause xmlns="beec32a9-2f86-4d36-8d48-f87b8003c444">Préambule</Familledeclause>
    <Contributeur xmlns="beec32a9-2f86-4d36-8d48-f87b8003c444">
      <UserInfo>
        <DisplayName>elise.auvray@laposte.fr</DisplayName>
        <AccountId>188</AccountId>
        <AccountType/>
      </UserInfo>
    </Contributeur>
  </documentManagement>
</p:properties>
</file>

<file path=customXml/itemProps1.xml><?xml version="1.0" encoding="utf-8"?>
<ds:datastoreItem xmlns:ds="http://schemas.openxmlformats.org/officeDocument/2006/customXml" ds:itemID="{611D0B06-A863-4B52-BF0D-682F773F00E4}"/>
</file>

<file path=customXml/itemProps2.xml><?xml version="1.0" encoding="utf-8"?>
<ds:datastoreItem xmlns:ds="http://schemas.openxmlformats.org/officeDocument/2006/customXml" ds:itemID="{AE681ADB-DB14-4052-95A7-1C0F98443826}"/>
</file>

<file path=customXml/itemProps3.xml><?xml version="1.0" encoding="utf-8"?>
<ds:datastoreItem xmlns:ds="http://schemas.openxmlformats.org/officeDocument/2006/customXml" ds:itemID="{25030BFA-8355-45F0-8533-EAB9BEB5CB5D}"/>
</file>

<file path=docMetadata/LabelInfo.xml><?xml version="1.0" encoding="utf-8"?>
<clbl:labelList xmlns:clbl="http://schemas.microsoft.com/office/2020/mipLabelMetadata">
  <clbl:label id="{80c03608-5f64-40bb-9c70-9394abe6011c}" enabled="0" method="" siteId="{80c03608-5f64-40bb-9c70-9394abe6011c}"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3296</Characters>
  <Application>Microsoft Office Word</Application>
  <DocSecurity>0</DocSecurity>
  <Lines>27</Lines>
  <Paragraphs>7</Paragraphs>
  <ScaleCrop>false</ScaleCrop>
  <Company>La Poste</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AUVRAY Elise</dc:creator>
  <cp:keywords/>
  <dc:description/>
  <cp:lastModifiedBy>AUVRAY Elise</cp:lastModifiedBy>
  <cp:revision>4</cp:revision>
  <dcterms:created xsi:type="dcterms:W3CDTF">2025-07-15T08:20:00Z</dcterms:created>
  <dcterms:modified xsi:type="dcterms:W3CDTF">2025-07-15T08:29:00Z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0x01010007E73E4B400A9D4BBC60B3DD46FD33AE</vt:lpwstr>
  </property>
</Properties>
</file>