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9B535" w14:textId="3202FFF8" w:rsidR="000C6F4F" w:rsidRPr="000C6F4F" w:rsidRDefault="000C6F4F" w:rsidP="000C6F4F">
      <w:pPr>
        <w:pStyle w:val="NormalWeb"/>
        <w:spacing w:after="240" w:afterAutospacing="0" w:line="276" w:lineRule="auto"/>
        <w:rPr>
          <w:rFonts w:ascii="Montserrat" w:hAnsi="Montserrat"/>
          <w:b/>
          <w:bCs/>
          <w:color w:val="000000"/>
          <w:sz w:val="18"/>
          <w:szCs w:val="18"/>
        </w:rPr>
      </w:pPr>
      <w:r w:rsidRPr="000C6F4F">
        <w:rPr>
          <w:rFonts w:ascii="Montserrat" w:hAnsi="Montserrat"/>
          <w:b/>
          <w:bCs/>
          <w:color w:val="000000"/>
          <w:sz w:val="18"/>
          <w:szCs w:val="18"/>
        </w:rPr>
        <w:t>DEFINITIONS</w:t>
      </w:r>
    </w:p>
    <w:p w14:paraId="4A028F0E" w14:textId="0031A1D2" w:rsidR="000C6F4F" w:rsidRDefault="000C6F4F" w:rsidP="000C6F4F">
      <w:pPr>
        <w:pStyle w:val="NormalWeb"/>
        <w:spacing w:after="240" w:afterAutospacing="0" w:line="276" w:lineRule="auto"/>
        <w:rPr>
          <w:rFonts w:ascii="Montserrat" w:hAnsi="Montserrat"/>
          <w:color w:val="000000"/>
          <w:sz w:val="18"/>
          <w:szCs w:val="18"/>
        </w:rPr>
      </w:pPr>
      <w:r w:rsidRPr="000C6F4F">
        <w:rPr>
          <w:rFonts w:ascii="Montserrat" w:hAnsi="Montserrat"/>
          <w:color w:val="000000"/>
          <w:sz w:val="18"/>
          <w:szCs w:val="18"/>
        </w:rPr>
        <w:t>Les termes cités dans le Contrat avec une majuscule s’entendent selon la définition ci-après :</w:t>
      </w:r>
    </w:p>
    <w:p w14:paraId="13CE1637" w14:textId="77777777" w:rsidR="002576AB" w:rsidRDefault="002576AB" w:rsidP="000C6F4F">
      <w:pPr>
        <w:pStyle w:val="NormalWeb"/>
        <w:spacing w:after="240" w:afterAutospacing="0" w:line="276" w:lineRule="auto"/>
        <w:rPr>
          <w:rFonts w:ascii="Montserrat" w:hAnsi="Montserrat"/>
          <w:color w:val="000000"/>
          <w:sz w:val="18"/>
          <w:szCs w:val="18"/>
        </w:rPr>
      </w:pPr>
    </w:p>
    <w:p w14:paraId="38807F66" w14:textId="77777777" w:rsidR="002576AB" w:rsidRDefault="002576AB" w:rsidP="002576AB">
      <w:pPr>
        <w:jc w:val="both"/>
        <w:rPr>
          <w:rFonts w:ascii="Verdana" w:hAnsi="Verdana" w:cstheme="minorHAnsi"/>
          <w:sz w:val="18"/>
          <w:szCs w:val="18"/>
        </w:rPr>
      </w:pPr>
      <w:r>
        <w:rPr>
          <w:rFonts w:ascii="Verdana" w:hAnsi="Verdana" w:cstheme="minorHAnsi"/>
          <w:sz w:val="18"/>
          <w:szCs w:val="18"/>
        </w:rPr>
        <w:t>Les Box mises à disposition du Client, et propriété de La Poste, sont des petits conteneurs isothermes :</w:t>
      </w:r>
    </w:p>
    <w:p w14:paraId="34A44778" w14:textId="77777777" w:rsidR="002576AB" w:rsidRDefault="002576AB" w:rsidP="002576AB">
      <w:pPr>
        <w:jc w:val="both"/>
        <w:rPr>
          <w:rFonts w:ascii="Verdana" w:hAnsi="Verdana" w:cstheme="minorHAnsi"/>
          <w:sz w:val="18"/>
          <w:szCs w:val="18"/>
        </w:rPr>
      </w:pPr>
    </w:p>
    <w:p w14:paraId="1D569126" w14:textId="77777777" w:rsidR="002576AB" w:rsidRDefault="002576AB" w:rsidP="002576AB">
      <w:pPr>
        <w:pStyle w:val="ListParagraph"/>
        <w:numPr>
          <w:ilvl w:val="0"/>
          <w:numId w:val="3"/>
        </w:numPr>
        <w:spacing w:after="0" w:line="240" w:lineRule="auto"/>
        <w:jc w:val="both"/>
        <w:rPr>
          <w:rFonts w:ascii="Verdana" w:hAnsi="Verdana" w:cstheme="minorHAnsi"/>
          <w:sz w:val="18"/>
          <w:szCs w:val="18"/>
        </w:rPr>
      </w:pPr>
      <w:r>
        <w:rPr>
          <w:rFonts w:ascii="Verdana" w:hAnsi="Verdana" w:cstheme="minorHAnsi"/>
          <w:sz w:val="18"/>
          <w:szCs w:val="18"/>
        </w:rPr>
        <w:t>Aptes à maintenir le froid pendant une durée maximale de 30 heures, comprise entre la fermeture de la Box par le Client et son ouverture par La Poste au moment de livraison au Bénéficiaire, et</w:t>
      </w:r>
    </w:p>
    <w:p w14:paraId="1D0B2E62" w14:textId="77777777" w:rsidR="002576AB" w:rsidRDefault="002576AB" w:rsidP="002576AB">
      <w:pPr>
        <w:pStyle w:val="ListParagraph"/>
        <w:numPr>
          <w:ilvl w:val="0"/>
          <w:numId w:val="3"/>
        </w:numPr>
        <w:spacing w:after="0" w:line="240" w:lineRule="auto"/>
        <w:jc w:val="both"/>
        <w:rPr>
          <w:rFonts w:ascii="Verdana" w:hAnsi="Verdana" w:cstheme="minorHAnsi"/>
          <w:sz w:val="18"/>
          <w:szCs w:val="18"/>
        </w:rPr>
      </w:pPr>
      <w:r>
        <w:rPr>
          <w:rFonts w:ascii="Verdana" w:hAnsi="Verdana" w:cstheme="minorHAnsi"/>
          <w:sz w:val="18"/>
          <w:szCs w:val="18"/>
        </w:rPr>
        <w:t>Conformes à la norme NF EN 12571, et</w:t>
      </w:r>
    </w:p>
    <w:p w14:paraId="50FF1555" w14:textId="77777777" w:rsidR="002576AB" w:rsidRDefault="002576AB" w:rsidP="002576AB">
      <w:pPr>
        <w:pStyle w:val="ListParagraph"/>
        <w:numPr>
          <w:ilvl w:val="0"/>
          <w:numId w:val="3"/>
        </w:numPr>
        <w:spacing w:after="0" w:line="240" w:lineRule="auto"/>
        <w:jc w:val="both"/>
        <w:rPr>
          <w:rFonts w:ascii="Verdana" w:hAnsi="Verdana" w:cstheme="minorHAnsi"/>
          <w:sz w:val="18"/>
          <w:szCs w:val="18"/>
        </w:rPr>
      </w:pPr>
      <w:r>
        <w:rPr>
          <w:rFonts w:ascii="Verdana" w:hAnsi="Verdana" w:cstheme="minorHAnsi"/>
          <w:sz w:val="18"/>
          <w:szCs w:val="18"/>
        </w:rPr>
        <w:t xml:space="preserve">Ayant fait l’objet d’une attestation de conformité technique délivrée par le </w:t>
      </w:r>
      <w:proofErr w:type="spellStart"/>
      <w:r>
        <w:rPr>
          <w:rFonts w:ascii="Verdana" w:hAnsi="Verdana" w:cstheme="minorHAnsi"/>
          <w:sz w:val="18"/>
          <w:szCs w:val="18"/>
        </w:rPr>
        <w:t>Cemafroid</w:t>
      </w:r>
      <w:proofErr w:type="spellEnd"/>
      <w:r>
        <w:rPr>
          <w:rFonts w:ascii="Verdana" w:hAnsi="Verdana" w:cstheme="minorHAnsi"/>
          <w:sz w:val="18"/>
          <w:szCs w:val="18"/>
        </w:rPr>
        <w:t xml:space="preserve"> en tant qu’autorité compétente déléguée ATP, et</w:t>
      </w:r>
    </w:p>
    <w:p w14:paraId="64E22C67" w14:textId="77777777" w:rsidR="002576AB" w:rsidRDefault="002576AB" w:rsidP="002576AB">
      <w:pPr>
        <w:pStyle w:val="ListParagraph"/>
        <w:numPr>
          <w:ilvl w:val="0"/>
          <w:numId w:val="3"/>
        </w:numPr>
        <w:spacing w:after="0" w:line="240" w:lineRule="auto"/>
        <w:jc w:val="both"/>
        <w:rPr>
          <w:rFonts w:ascii="Verdana" w:hAnsi="Verdana" w:cstheme="minorHAnsi"/>
          <w:sz w:val="18"/>
          <w:szCs w:val="18"/>
        </w:rPr>
      </w:pPr>
      <w:r>
        <w:rPr>
          <w:rFonts w:ascii="Verdana" w:hAnsi="Verdana" w:cstheme="minorHAnsi"/>
          <w:sz w:val="18"/>
          <w:szCs w:val="18"/>
        </w:rPr>
        <w:t>Revêtus d’un marquage ATP.</w:t>
      </w:r>
    </w:p>
    <w:p w14:paraId="5F36F236" w14:textId="711A9CEF" w:rsidR="000C6F4F" w:rsidRPr="000C6F4F" w:rsidRDefault="000C6F4F" w:rsidP="000C6F4F">
      <w:pPr>
        <w:pStyle w:val="NormalWeb"/>
        <w:numPr>
          <w:ilvl w:val="0"/>
          <w:numId w:val="1"/>
        </w:numPr>
        <w:spacing w:after="0" w:afterAutospacing="0" w:line="276" w:lineRule="auto"/>
        <w:rPr>
          <w:rFonts w:ascii="Montserrat" w:hAnsi="Montserrat"/>
          <w:color w:val="000000"/>
          <w:sz w:val="18"/>
          <w:szCs w:val="18"/>
        </w:rPr>
      </w:pPr>
      <w:r w:rsidRPr="000C6F4F">
        <w:rPr>
          <w:rFonts w:ascii="Montserrat" w:hAnsi="Montserrat"/>
          <w:b/>
          <w:bCs/>
          <w:color w:val="000000"/>
          <w:sz w:val="18"/>
          <w:szCs w:val="18"/>
        </w:rPr>
        <w:t>« Prestation »</w:t>
      </w:r>
      <w:r w:rsidRPr="000C6F4F">
        <w:rPr>
          <w:rFonts w:ascii="Montserrat" w:hAnsi="Montserrat"/>
          <w:color w:val="000000"/>
          <w:sz w:val="18"/>
          <w:szCs w:val="18"/>
        </w:rPr>
        <w:t xml:space="preserve"> : désigne </w:t>
      </w:r>
      <w:r w:rsidRPr="000C6F4F">
        <w:rPr>
          <w:rFonts w:ascii="Montserrat" w:hAnsi="Montserrat"/>
          <w:color w:val="000000"/>
          <w:sz w:val="18"/>
          <w:szCs w:val="18"/>
          <w:highlight w:val="yellow"/>
        </w:rPr>
        <w:t>XXXX</w:t>
      </w:r>
    </w:p>
    <w:p w14:paraId="59F6F18F" w14:textId="028EE40F" w:rsidR="000C6F4F" w:rsidRPr="000C6F4F" w:rsidRDefault="000C6F4F" w:rsidP="000C6F4F">
      <w:pPr>
        <w:pStyle w:val="NormalWeb"/>
        <w:numPr>
          <w:ilvl w:val="0"/>
          <w:numId w:val="1"/>
        </w:numPr>
        <w:spacing w:after="0" w:afterAutospacing="0" w:line="276" w:lineRule="auto"/>
        <w:rPr>
          <w:rFonts w:ascii="Montserrat" w:hAnsi="Montserrat"/>
          <w:color w:val="000000"/>
          <w:sz w:val="18"/>
          <w:szCs w:val="18"/>
        </w:rPr>
      </w:pPr>
      <w:r w:rsidRPr="000C6F4F">
        <w:rPr>
          <w:rFonts w:ascii="Montserrat" w:hAnsi="Montserrat"/>
          <w:b/>
          <w:bCs/>
          <w:color w:val="000000"/>
          <w:sz w:val="18"/>
          <w:szCs w:val="18"/>
        </w:rPr>
        <w:t xml:space="preserve">« Jours Ouvrés » </w:t>
      </w:r>
      <w:r w:rsidRPr="000C6F4F">
        <w:rPr>
          <w:rFonts w:ascii="Montserrat" w:hAnsi="Montserrat"/>
          <w:color w:val="000000"/>
          <w:sz w:val="18"/>
          <w:szCs w:val="18"/>
        </w:rPr>
        <w:t>: désigne Tous les jours de la semaine, y compris les samedis, dimanches et fêtes y compris le lundi de pentecôte</w:t>
      </w:r>
    </w:p>
    <w:p w14:paraId="719DE306" w14:textId="4EC3DA84" w:rsidR="000C6F4F" w:rsidRPr="000C6F4F" w:rsidRDefault="000C6F4F" w:rsidP="000C6F4F">
      <w:pPr>
        <w:pStyle w:val="NormalWeb"/>
        <w:numPr>
          <w:ilvl w:val="0"/>
          <w:numId w:val="1"/>
        </w:numPr>
        <w:spacing w:after="0" w:afterAutospacing="0" w:line="276" w:lineRule="auto"/>
        <w:rPr>
          <w:rFonts w:ascii="Montserrat" w:hAnsi="Montserrat"/>
          <w:color w:val="000000"/>
          <w:sz w:val="18"/>
          <w:szCs w:val="18"/>
        </w:rPr>
      </w:pPr>
      <w:r w:rsidRPr="000C6F4F">
        <w:rPr>
          <w:rFonts w:ascii="Montserrat" w:hAnsi="Montserrat"/>
          <w:b/>
          <w:bCs/>
          <w:color w:val="000000"/>
          <w:sz w:val="18"/>
          <w:szCs w:val="18"/>
        </w:rPr>
        <w:t>« Jours ouvrables »</w:t>
      </w:r>
      <w:r>
        <w:rPr>
          <w:rFonts w:ascii="Montserrat" w:hAnsi="Montserrat"/>
          <w:color w:val="000000"/>
          <w:sz w:val="18"/>
          <w:szCs w:val="18"/>
        </w:rPr>
        <w:t xml:space="preserve"> </w:t>
      </w:r>
      <w:r w:rsidRPr="000C6F4F">
        <w:rPr>
          <w:rFonts w:ascii="Montserrat" w:hAnsi="Montserrat"/>
          <w:color w:val="000000"/>
          <w:sz w:val="18"/>
          <w:szCs w:val="18"/>
        </w:rPr>
        <w:t>: Jours de la semaine du lundi au samedi inclus, dimanche et jours fériés y compris le lundi de pentecôte exclus</w:t>
      </w:r>
    </w:p>
    <w:p w14:paraId="511B427B" w14:textId="76E85599" w:rsidR="000C6F4F" w:rsidRPr="000C6F4F" w:rsidRDefault="000C6F4F" w:rsidP="000C6F4F">
      <w:pPr>
        <w:pStyle w:val="NormalWeb"/>
        <w:numPr>
          <w:ilvl w:val="0"/>
          <w:numId w:val="1"/>
        </w:numPr>
        <w:spacing w:after="0" w:afterAutospacing="0" w:line="276" w:lineRule="auto"/>
        <w:rPr>
          <w:rFonts w:ascii="Montserrat" w:hAnsi="Montserrat"/>
          <w:color w:val="000000"/>
          <w:sz w:val="18"/>
          <w:szCs w:val="18"/>
        </w:rPr>
      </w:pPr>
      <w:r w:rsidRPr="000C6F4F">
        <w:rPr>
          <w:rFonts w:ascii="Montserrat" w:hAnsi="Montserrat"/>
          <w:b/>
          <w:bCs/>
          <w:color w:val="000000"/>
          <w:sz w:val="18"/>
          <w:szCs w:val="18"/>
        </w:rPr>
        <w:t>« Jours calendaires »</w:t>
      </w:r>
      <w:r w:rsidRPr="000C6F4F">
        <w:rPr>
          <w:rFonts w:ascii="Montserrat" w:hAnsi="Montserrat"/>
          <w:color w:val="000000"/>
          <w:sz w:val="18"/>
          <w:szCs w:val="18"/>
        </w:rPr>
        <w:t xml:space="preserve"> : Jours de la semaine du lundi au vendredi inclus, samedi, dimanche et jours fériés y compris le lundi de pentecôte exclus</w:t>
      </w:r>
    </w:p>
    <w:p w14:paraId="1DD258B4" w14:textId="76E8EA3E" w:rsidR="000C6F4F" w:rsidRPr="000C6F4F" w:rsidRDefault="000C6F4F" w:rsidP="000C6F4F">
      <w:pPr>
        <w:pStyle w:val="NormalWeb"/>
        <w:numPr>
          <w:ilvl w:val="0"/>
          <w:numId w:val="1"/>
        </w:numPr>
        <w:spacing w:after="0" w:afterAutospacing="0" w:line="276" w:lineRule="auto"/>
        <w:rPr>
          <w:rFonts w:ascii="Montserrat" w:hAnsi="Montserrat"/>
          <w:color w:val="000000"/>
          <w:sz w:val="18"/>
          <w:szCs w:val="18"/>
        </w:rPr>
      </w:pPr>
      <w:r w:rsidRPr="000C6F4F">
        <w:rPr>
          <w:rFonts w:ascii="Montserrat" w:hAnsi="Montserrat"/>
          <w:b/>
          <w:bCs/>
          <w:color w:val="000000"/>
          <w:sz w:val="18"/>
          <w:szCs w:val="18"/>
        </w:rPr>
        <w:t>« Contenant »</w:t>
      </w:r>
      <w:r w:rsidRPr="000C6F4F">
        <w:rPr>
          <w:rFonts w:ascii="Montserrat" w:hAnsi="Montserrat"/>
          <w:color w:val="000000"/>
          <w:sz w:val="18"/>
          <w:szCs w:val="18"/>
        </w:rPr>
        <w:t xml:space="preserve"> : désigne </w:t>
      </w:r>
      <w:r w:rsidRPr="000C6F4F">
        <w:rPr>
          <w:rFonts w:ascii="Montserrat" w:hAnsi="Montserrat"/>
          <w:color w:val="000000"/>
          <w:sz w:val="18"/>
          <w:szCs w:val="18"/>
          <w:highlight w:val="yellow"/>
        </w:rPr>
        <w:t>XXXX</w:t>
      </w:r>
    </w:p>
    <w:p w14:paraId="29A1BA13" w14:textId="50BEDE94" w:rsidR="000C6F4F" w:rsidRPr="000C6F4F" w:rsidRDefault="000C6F4F" w:rsidP="000C6F4F">
      <w:pPr>
        <w:pStyle w:val="NormalWeb"/>
        <w:numPr>
          <w:ilvl w:val="0"/>
          <w:numId w:val="1"/>
        </w:numPr>
        <w:spacing w:after="0" w:afterAutospacing="0" w:line="276" w:lineRule="auto"/>
        <w:rPr>
          <w:rFonts w:ascii="Montserrat" w:hAnsi="Montserrat"/>
          <w:color w:val="000000"/>
          <w:sz w:val="18"/>
          <w:szCs w:val="18"/>
        </w:rPr>
      </w:pPr>
      <w:r w:rsidRPr="000C6F4F">
        <w:rPr>
          <w:rFonts w:ascii="Montserrat" w:hAnsi="Montserrat"/>
          <w:b/>
          <w:bCs/>
          <w:color w:val="000000"/>
          <w:sz w:val="18"/>
          <w:szCs w:val="18"/>
        </w:rPr>
        <w:t>« Bénéficiaire »</w:t>
      </w:r>
      <w:r w:rsidRPr="000C6F4F">
        <w:rPr>
          <w:rFonts w:ascii="Montserrat" w:hAnsi="Montserrat"/>
          <w:color w:val="000000"/>
          <w:sz w:val="18"/>
          <w:szCs w:val="18"/>
        </w:rPr>
        <w:t xml:space="preserve"> : contractant ou tiers désigné</w:t>
      </w:r>
    </w:p>
    <w:p w14:paraId="3C6C25B9" w14:textId="0DC76A0D" w:rsidR="000C6F4F" w:rsidRPr="000C6F4F" w:rsidRDefault="000C6F4F" w:rsidP="000C6F4F">
      <w:pPr>
        <w:pStyle w:val="NormalWeb"/>
        <w:numPr>
          <w:ilvl w:val="0"/>
          <w:numId w:val="1"/>
        </w:numPr>
        <w:spacing w:after="0" w:afterAutospacing="0" w:line="276" w:lineRule="auto"/>
        <w:rPr>
          <w:rFonts w:ascii="Montserrat" w:hAnsi="Montserrat"/>
          <w:color w:val="000000"/>
          <w:sz w:val="18"/>
          <w:szCs w:val="18"/>
        </w:rPr>
      </w:pPr>
      <w:r w:rsidRPr="000C6F4F">
        <w:rPr>
          <w:rFonts w:ascii="Montserrat" w:hAnsi="Montserrat"/>
          <w:b/>
          <w:bCs/>
          <w:color w:val="000000"/>
          <w:sz w:val="18"/>
          <w:szCs w:val="18"/>
        </w:rPr>
        <w:t xml:space="preserve">« Client » </w:t>
      </w:r>
      <w:r w:rsidRPr="000C6F4F">
        <w:rPr>
          <w:rFonts w:ascii="Montserrat" w:hAnsi="Montserrat"/>
          <w:color w:val="000000"/>
          <w:sz w:val="18"/>
          <w:szCs w:val="18"/>
        </w:rPr>
        <w:t>: toute personne morale, contractant dans le cadre de son activité professionnelle et signataire de la présente convention.</w:t>
      </w:r>
    </w:p>
    <w:p w14:paraId="1BEFF43D" w14:textId="7D51CDD2" w:rsidR="000C6F4F" w:rsidRPr="000C6F4F" w:rsidRDefault="000C6F4F" w:rsidP="000C6F4F">
      <w:pPr>
        <w:pStyle w:val="NormalWeb"/>
        <w:numPr>
          <w:ilvl w:val="0"/>
          <w:numId w:val="1"/>
        </w:numPr>
        <w:spacing w:after="0" w:afterAutospacing="0" w:line="276" w:lineRule="auto"/>
        <w:rPr>
          <w:rFonts w:ascii="Montserrat" w:hAnsi="Montserrat"/>
          <w:color w:val="000000"/>
          <w:sz w:val="18"/>
          <w:szCs w:val="18"/>
        </w:rPr>
      </w:pPr>
      <w:r w:rsidRPr="000C6F4F">
        <w:rPr>
          <w:rFonts w:ascii="Montserrat" w:hAnsi="Montserrat"/>
          <w:b/>
          <w:bCs/>
          <w:color w:val="000000"/>
          <w:sz w:val="18"/>
          <w:szCs w:val="18"/>
        </w:rPr>
        <w:t xml:space="preserve">« Envoi postal » </w:t>
      </w:r>
      <w:r w:rsidRPr="000C6F4F">
        <w:rPr>
          <w:rFonts w:ascii="Montserrat" w:hAnsi="Montserrat"/>
          <w:color w:val="000000"/>
          <w:sz w:val="18"/>
          <w:szCs w:val="18"/>
        </w:rPr>
        <w:t>: Le terme « envoi postal» correspond aux envois courrier ou colis (incluant les envois express et Chronopost) et objets recommandée satisfaisants aux conditions générales d’admission des envois confiées à La Poste. Sont exclus, les valeurs déclarées et les contre remboursements.</w:t>
      </w:r>
    </w:p>
    <w:p w14:paraId="5F798D51" w14:textId="0427E0CC" w:rsidR="000C6F4F" w:rsidRPr="000C6F4F" w:rsidRDefault="000C6F4F" w:rsidP="000C6F4F">
      <w:pPr>
        <w:pStyle w:val="NormalWeb"/>
        <w:numPr>
          <w:ilvl w:val="0"/>
          <w:numId w:val="1"/>
        </w:numPr>
        <w:spacing w:after="0" w:afterAutospacing="0" w:line="276" w:lineRule="auto"/>
        <w:rPr>
          <w:rFonts w:ascii="Montserrat" w:hAnsi="Montserrat"/>
          <w:color w:val="000000"/>
          <w:sz w:val="18"/>
          <w:szCs w:val="18"/>
        </w:rPr>
      </w:pPr>
      <w:r w:rsidRPr="000C6F4F">
        <w:rPr>
          <w:rFonts w:ascii="Montserrat" w:hAnsi="Montserrat"/>
          <w:b/>
          <w:bCs/>
          <w:color w:val="000000"/>
          <w:sz w:val="18"/>
          <w:szCs w:val="18"/>
        </w:rPr>
        <w:t>« Etablissement courrier de prise en charge »</w:t>
      </w:r>
      <w:r w:rsidRPr="000C6F4F">
        <w:rPr>
          <w:rFonts w:ascii="Montserrat" w:hAnsi="Montserrat"/>
          <w:color w:val="000000"/>
          <w:sz w:val="18"/>
          <w:szCs w:val="18"/>
        </w:rPr>
        <w:t xml:space="preserve"> : l’établissement de dépôt de prise en charge des objets du Client. L’établissement de prise en charge peut être identique à l’Etablissement prestataire.</w:t>
      </w:r>
    </w:p>
    <w:p w14:paraId="552F4F5D" w14:textId="5BD28922" w:rsidR="000C6F4F" w:rsidRPr="000C6F4F" w:rsidRDefault="000C6F4F" w:rsidP="000C6F4F">
      <w:pPr>
        <w:pStyle w:val="NormalWeb"/>
        <w:numPr>
          <w:ilvl w:val="0"/>
          <w:numId w:val="1"/>
        </w:numPr>
        <w:spacing w:after="0" w:afterAutospacing="0" w:line="276" w:lineRule="auto"/>
        <w:rPr>
          <w:rFonts w:ascii="Montserrat" w:hAnsi="Montserrat"/>
          <w:color w:val="000000"/>
          <w:sz w:val="18"/>
          <w:szCs w:val="18"/>
        </w:rPr>
      </w:pPr>
      <w:r w:rsidRPr="000C6F4F">
        <w:rPr>
          <w:rFonts w:ascii="Montserrat" w:hAnsi="Montserrat"/>
          <w:b/>
          <w:bCs/>
          <w:color w:val="000000"/>
          <w:sz w:val="18"/>
          <w:szCs w:val="18"/>
        </w:rPr>
        <w:t>« Etablissement courrier prestataire »</w:t>
      </w:r>
      <w:r w:rsidRPr="000C6F4F">
        <w:rPr>
          <w:rFonts w:ascii="Montserrat" w:hAnsi="Montserrat"/>
          <w:color w:val="000000"/>
          <w:sz w:val="18"/>
          <w:szCs w:val="18"/>
        </w:rPr>
        <w:t xml:space="preserve"> : Sauf exception mentionnée aux conditions particulières, l’établissement prestataire est l’établissement postal territorialement compétent pour l’adresse géographique du Client. L’établissement prestataire peut être identique à l’établissement de prise en charge.</w:t>
      </w:r>
    </w:p>
    <w:p w14:paraId="1304950E" w14:textId="7C83519E" w:rsidR="000C6F4F" w:rsidRPr="000C6F4F" w:rsidRDefault="000C6F4F" w:rsidP="000C6F4F">
      <w:pPr>
        <w:pStyle w:val="NormalWeb"/>
        <w:numPr>
          <w:ilvl w:val="0"/>
          <w:numId w:val="1"/>
        </w:numPr>
        <w:spacing w:after="0" w:afterAutospacing="0" w:line="276" w:lineRule="auto"/>
        <w:rPr>
          <w:rFonts w:ascii="Montserrat" w:hAnsi="Montserrat"/>
          <w:color w:val="000000"/>
          <w:sz w:val="18"/>
          <w:szCs w:val="18"/>
        </w:rPr>
      </w:pPr>
      <w:r w:rsidRPr="000C6F4F">
        <w:rPr>
          <w:rFonts w:ascii="Montserrat" w:hAnsi="Montserrat"/>
          <w:b/>
          <w:bCs/>
          <w:color w:val="000000"/>
          <w:sz w:val="18"/>
          <w:szCs w:val="18"/>
        </w:rPr>
        <w:t>« ECHANGE DE DONNEES INFORMATIQUES (EDI) »</w:t>
      </w:r>
      <w:r w:rsidRPr="000C6F4F">
        <w:rPr>
          <w:rFonts w:ascii="Montserrat" w:hAnsi="Montserrat"/>
          <w:color w:val="000000"/>
          <w:sz w:val="18"/>
          <w:szCs w:val="18"/>
        </w:rPr>
        <w:t xml:space="preserve"> : désigne le terme générique définissant un échange d'informations automatique entre deux entités à l'aide de messages standardisés, de machine à machine.</w:t>
      </w:r>
    </w:p>
    <w:p w14:paraId="31D6EDA3" w14:textId="6E887C39" w:rsidR="000C6F4F" w:rsidRPr="000C6F4F" w:rsidRDefault="000C6F4F" w:rsidP="000C6F4F">
      <w:pPr>
        <w:pStyle w:val="NormalWeb"/>
        <w:numPr>
          <w:ilvl w:val="0"/>
          <w:numId w:val="1"/>
        </w:numPr>
        <w:spacing w:after="0" w:afterAutospacing="0" w:line="276" w:lineRule="auto"/>
        <w:rPr>
          <w:rFonts w:ascii="Montserrat" w:hAnsi="Montserrat"/>
          <w:color w:val="000000"/>
          <w:sz w:val="18"/>
          <w:szCs w:val="18"/>
        </w:rPr>
      </w:pPr>
      <w:r w:rsidRPr="000C6F4F">
        <w:rPr>
          <w:rFonts w:ascii="Montserrat" w:hAnsi="Montserrat"/>
          <w:b/>
          <w:bCs/>
          <w:color w:val="000000"/>
          <w:sz w:val="18"/>
          <w:szCs w:val="18"/>
        </w:rPr>
        <w:t>« Portail nouveaux services/ PORTAIL CLIENTS »</w:t>
      </w:r>
      <w:r w:rsidRPr="000C6F4F">
        <w:rPr>
          <w:rFonts w:ascii="Montserrat" w:hAnsi="Montserrat"/>
          <w:color w:val="000000"/>
          <w:sz w:val="18"/>
          <w:szCs w:val="18"/>
        </w:rPr>
        <w:t xml:space="preserve"> : désigne le portail web des prestations Nouveaux Services de Proximité. Il permet au Client de passer des commandes de prestations, de les annuler et d’avoir une visibilité de l’ensemble des prestations réalisées. Les données peuvent être exportées sous format CSV/ Excel (ou flux EDI).</w:t>
      </w:r>
    </w:p>
    <w:p w14:paraId="1D675EDC" w14:textId="239E04FA" w:rsidR="000C6F4F" w:rsidRPr="000C6F4F" w:rsidRDefault="000C6F4F" w:rsidP="000C6F4F">
      <w:pPr>
        <w:pStyle w:val="NormalWeb"/>
        <w:numPr>
          <w:ilvl w:val="0"/>
          <w:numId w:val="1"/>
        </w:numPr>
        <w:spacing w:after="0" w:afterAutospacing="0" w:line="276" w:lineRule="auto"/>
        <w:rPr>
          <w:rFonts w:ascii="Montserrat" w:hAnsi="Montserrat"/>
          <w:color w:val="000000"/>
          <w:sz w:val="18"/>
          <w:szCs w:val="18"/>
        </w:rPr>
      </w:pPr>
      <w:r w:rsidRPr="000C6F4F">
        <w:rPr>
          <w:rFonts w:ascii="Montserrat" w:hAnsi="Montserrat"/>
          <w:b/>
          <w:bCs/>
          <w:color w:val="000000"/>
          <w:sz w:val="18"/>
          <w:szCs w:val="18"/>
        </w:rPr>
        <w:t>« Boite aux lettres normalisée »</w:t>
      </w:r>
      <w:r w:rsidRPr="000C6F4F">
        <w:rPr>
          <w:rFonts w:ascii="Montserrat" w:hAnsi="Montserrat"/>
          <w:color w:val="000000"/>
          <w:sz w:val="18"/>
          <w:szCs w:val="18"/>
        </w:rPr>
        <w:t xml:space="preserve"> : matériel permettant la réception des envois postaux dont la dimension est 260X260X340 mm</w:t>
      </w:r>
    </w:p>
    <w:p w14:paraId="794141AB" w14:textId="41BAF9FA" w:rsidR="006E3B2C" w:rsidRPr="000C6F4F" w:rsidRDefault="000C6F4F" w:rsidP="000C6F4F">
      <w:pPr>
        <w:pStyle w:val="NormalWeb"/>
        <w:numPr>
          <w:ilvl w:val="0"/>
          <w:numId w:val="1"/>
        </w:numPr>
        <w:spacing w:after="0" w:afterAutospacing="0" w:line="276" w:lineRule="auto"/>
        <w:rPr>
          <w:rFonts w:ascii="Montserrat" w:hAnsi="Montserrat"/>
          <w:sz w:val="18"/>
          <w:szCs w:val="18"/>
          <w:vertAlign w:val="superscript"/>
        </w:rPr>
      </w:pPr>
      <w:r w:rsidRPr="000C6F4F">
        <w:rPr>
          <w:rFonts w:ascii="Montserrat" w:hAnsi="Montserrat"/>
          <w:color w:val="000000"/>
          <w:sz w:val="18"/>
          <w:szCs w:val="18"/>
        </w:rPr>
        <w:t xml:space="preserve">Autres : </w:t>
      </w:r>
      <w:r w:rsidRPr="000C6F4F">
        <w:rPr>
          <w:rFonts w:ascii="Montserrat" w:hAnsi="Montserrat"/>
          <w:color w:val="000000"/>
          <w:sz w:val="18"/>
          <w:szCs w:val="18"/>
          <w:highlight w:val="yellow"/>
        </w:rPr>
        <w:t>XXXX</w:t>
      </w:r>
    </w:p>
    <w:sectPr w:rsidR="006E3B2C" w:rsidRPr="000C6F4F">
      <w:footerReference w:type="even" r:id="rId10"/>
      <w:footerReference w:type="defaul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890EF" w14:textId="77777777" w:rsidR="000C6F4F" w:rsidRDefault="000C6F4F" w:rsidP="000C6F4F">
      <w:pPr>
        <w:spacing w:after="0" w:line="240" w:lineRule="auto"/>
      </w:pPr>
      <w:r>
        <w:separator/>
      </w:r>
    </w:p>
  </w:endnote>
  <w:endnote w:type="continuationSeparator" w:id="0">
    <w:p w14:paraId="45D6B686" w14:textId="77777777" w:rsidR="000C6F4F" w:rsidRDefault="000C6F4F" w:rsidP="000C6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8A993" w14:textId="41094907" w:rsidR="000C6F4F" w:rsidRDefault="000C6F4F">
    <w:pPr>
      <w:pStyle w:val="Footer"/>
    </w:pPr>
    <w:r>
      <w:rPr>
        <w:noProof/>
      </w:rPr>
      <mc:AlternateContent>
        <mc:Choice Requires="wps">
          <w:drawing>
            <wp:anchor distT="0" distB="0" distL="0" distR="0" simplePos="0" relativeHeight="251659264" behindDoc="0" locked="0" layoutInCell="1" allowOverlap="1" wp14:anchorId="1C435821" wp14:editId="6F7CEFD3">
              <wp:simplePos x="635" y="635"/>
              <wp:positionH relativeFrom="page">
                <wp:align>center</wp:align>
              </wp:positionH>
              <wp:positionV relativeFrom="page">
                <wp:align>bottom</wp:align>
              </wp:positionV>
              <wp:extent cx="604520" cy="370205"/>
              <wp:effectExtent l="0" t="0" r="5080" b="0"/>
              <wp:wrapNone/>
              <wp:docPr id="1057974637" name="Zone de texte 2" descr="C1 - 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4520" cy="370205"/>
                      </a:xfrm>
                      <a:prstGeom prst="rect">
                        <a:avLst/>
                      </a:prstGeom>
                      <a:noFill/>
                      <a:ln>
                        <a:noFill/>
                      </a:ln>
                    </wps:spPr>
                    <wps:txbx>
                      <w:txbxContent>
                        <w:p w14:paraId="598C6067" w14:textId="795B31DF" w:rsidR="000C6F4F" w:rsidRPr="000C6F4F" w:rsidRDefault="000C6F4F" w:rsidP="000C6F4F">
                          <w:pPr>
                            <w:spacing w:after="0"/>
                            <w:rPr>
                              <w:rFonts w:ascii="Calibri" w:eastAsia="Calibri" w:hAnsi="Calibri" w:cs="Calibri"/>
                              <w:noProof/>
                              <w:color w:val="0078D7"/>
                              <w:sz w:val="20"/>
                              <w:szCs w:val="20"/>
                            </w:rPr>
                          </w:pPr>
                          <w:r w:rsidRPr="000C6F4F">
                            <w:rPr>
                              <w:rFonts w:ascii="Calibri" w:eastAsia="Calibri" w:hAnsi="Calibri" w:cs="Calibri"/>
                              <w:noProof/>
                              <w:color w:val="0078D7"/>
                              <w:sz w:val="20"/>
                              <w:szCs w:val="20"/>
                            </w:rPr>
                            <w:t>C1 - Interne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C435821" id="_x0000_t202" coordsize="21600,21600" o:spt="202" path="m,l,21600r21600,l21600,xe">
              <v:stroke joinstyle="miter"/>
              <v:path gradientshapeok="t" o:connecttype="rect"/>
            </v:shapetype>
            <v:shape id="Zone de texte 2" o:spid="_x0000_s1026" type="#_x0000_t202" alt="C1 - Interne" style="position:absolute;margin-left:0;margin-top:0;width:47.6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" filled="f" stroked="f">
              <v:textbox style="mso-fit-shape-to-text:t" inset="0,0,0,15pt">
                <w:txbxContent>
                  <w:p w14:paraId="598C6067" w14:textId="795B31DF" w:rsidR="000C6F4F" w:rsidRPr="000C6F4F" w:rsidRDefault="000C6F4F" w:rsidP="000C6F4F">
                    <w:pPr>
                      <w:spacing w:after="0"/>
                      <w:rPr>
                        <w:rFonts w:ascii="Calibri" w:eastAsia="Calibri" w:hAnsi="Calibri" w:cs="Calibri"/>
                        <w:noProof/>
                        <w:color w:val="0078D7"/>
                        <w:sz w:val="20"/>
                        <w:szCs w:val="20"/>
                      </w:rPr>
                    </w:pPr>
                    <w:r w:rsidRPr="000C6F4F">
                      <w:rPr>
                        <w:rFonts w:ascii="Calibri" w:eastAsia="Calibri" w:hAnsi="Calibri" w:cs="Calibri"/>
                        <w:noProof/>
                        <w:color w:val="0078D7"/>
                        <w:sz w:val="20"/>
                        <w:szCs w:val="20"/>
                      </w:rPr>
                      <w:t>C1 - Interne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80AA7" w14:textId="2C625E59" w:rsidR="000C6F4F" w:rsidRDefault="000C6F4F">
    <w:pPr>
      <w:pStyle w:val="Footer"/>
    </w:pPr>
    <w:r>
      <w:rPr>
        <w:noProof/>
      </w:rPr>
      <mc:AlternateContent>
        <mc:Choice Requires="wps">
          <w:drawing>
            <wp:anchor distT="0" distB="0" distL="0" distR="0" simplePos="0" relativeHeight="251660288" behindDoc="0" locked="0" layoutInCell="1" allowOverlap="1" wp14:anchorId="54CA3F9E" wp14:editId="40CD9767">
              <wp:simplePos x="902825" y="10058400"/>
              <wp:positionH relativeFrom="page">
                <wp:align>center</wp:align>
              </wp:positionH>
              <wp:positionV relativeFrom="page">
                <wp:align>bottom</wp:align>
              </wp:positionV>
              <wp:extent cx="604520" cy="370205"/>
              <wp:effectExtent l="0" t="0" r="5080" b="0"/>
              <wp:wrapNone/>
              <wp:docPr id="910848248" name="Zone de texte 3" descr="C1 - 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4520" cy="370205"/>
                      </a:xfrm>
                      <a:prstGeom prst="rect">
                        <a:avLst/>
                      </a:prstGeom>
                      <a:noFill/>
                      <a:ln>
                        <a:noFill/>
                      </a:ln>
                    </wps:spPr>
                    <wps:txbx>
                      <w:txbxContent>
                        <w:p w14:paraId="46FCFD6D" w14:textId="7293228D" w:rsidR="000C6F4F" w:rsidRPr="000C6F4F" w:rsidRDefault="000C6F4F" w:rsidP="000C6F4F">
                          <w:pPr>
                            <w:spacing w:after="0"/>
                            <w:rPr>
                              <w:rFonts w:ascii="Calibri" w:eastAsia="Calibri" w:hAnsi="Calibri" w:cs="Calibri"/>
                              <w:noProof/>
                              <w:color w:val="0078D7"/>
                              <w:sz w:val="20"/>
                              <w:szCs w:val="20"/>
                            </w:rPr>
                          </w:pPr>
                          <w:r w:rsidRPr="000C6F4F">
                            <w:rPr>
                              <w:rFonts w:ascii="Calibri" w:eastAsia="Calibri" w:hAnsi="Calibri" w:cs="Calibri"/>
                              <w:noProof/>
                              <w:color w:val="0078D7"/>
                              <w:sz w:val="20"/>
                              <w:szCs w:val="20"/>
                            </w:rPr>
                            <w:t>C1 - Interne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4CA3F9E" id="_x0000_t202" coordsize="21600,21600" o:spt="202" path="m,l,21600r21600,l21600,xe">
              <v:stroke joinstyle="miter"/>
              <v:path gradientshapeok="t" o:connecttype="rect"/>
            </v:shapetype>
            <v:shape id="Zone de texte 3" o:spid="_x0000_s1027" type="#_x0000_t202" alt="C1 - Interne" style="position:absolute;margin-left:0;margin-top:0;width:47.6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" filled="f" stroked="f">
              <v:textbox style="mso-fit-shape-to-text:t" inset="0,0,0,15pt">
                <w:txbxContent>
                  <w:p w14:paraId="46FCFD6D" w14:textId="7293228D" w:rsidR="000C6F4F" w:rsidRPr="000C6F4F" w:rsidRDefault="000C6F4F" w:rsidP="000C6F4F">
                    <w:pPr>
                      <w:spacing w:after="0"/>
                      <w:rPr>
                        <w:rFonts w:ascii="Calibri" w:eastAsia="Calibri" w:hAnsi="Calibri" w:cs="Calibri"/>
                        <w:noProof/>
                        <w:color w:val="0078D7"/>
                        <w:sz w:val="20"/>
                        <w:szCs w:val="20"/>
                      </w:rPr>
                    </w:pPr>
                    <w:r w:rsidRPr="000C6F4F">
                      <w:rPr>
                        <w:rFonts w:ascii="Calibri" w:eastAsia="Calibri" w:hAnsi="Calibri" w:cs="Calibri"/>
                        <w:noProof/>
                        <w:color w:val="0078D7"/>
                        <w:sz w:val="20"/>
                        <w:szCs w:val="20"/>
                      </w:rPr>
                      <w:t>C1 - Interne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59754" w14:textId="6BA12F70" w:rsidR="000C6F4F" w:rsidRDefault="000C6F4F">
    <w:pPr>
      <w:pStyle w:val="Footer"/>
    </w:pPr>
    <w:r>
      <w:rPr>
        <w:noProof/>
      </w:rPr>
      <mc:AlternateContent>
        <mc:Choice Requires="wps">
          <w:drawing>
            <wp:anchor distT="0" distB="0" distL="0" distR="0" simplePos="0" relativeHeight="251658240" behindDoc="0" locked="0" layoutInCell="1" allowOverlap="1" wp14:anchorId="21A5BEAC" wp14:editId="7EAC8552">
              <wp:simplePos x="635" y="635"/>
              <wp:positionH relativeFrom="page">
                <wp:align>center</wp:align>
              </wp:positionH>
              <wp:positionV relativeFrom="page">
                <wp:align>bottom</wp:align>
              </wp:positionV>
              <wp:extent cx="604520" cy="370205"/>
              <wp:effectExtent l="0" t="0" r="5080" b="0"/>
              <wp:wrapNone/>
              <wp:docPr id="1108707582" name="Zone de texte 1" descr="C1 - 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4520" cy="370205"/>
                      </a:xfrm>
                      <a:prstGeom prst="rect">
                        <a:avLst/>
                      </a:prstGeom>
                      <a:noFill/>
                      <a:ln>
                        <a:noFill/>
                      </a:ln>
                    </wps:spPr>
                    <wps:txbx>
                      <w:txbxContent>
                        <w:p w14:paraId="6724E1DD" w14:textId="0CF9C623" w:rsidR="000C6F4F" w:rsidRPr="000C6F4F" w:rsidRDefault="000C6F4F" w:rsidP="000C6F4F">
                          <w:pPr>
                            <w:spacing w:after="0"/>
                            <w:rPr>
                              <w:rFonts w:ascii="Calibri" w:eastAsia="Calibri" w:hAnsi="Calibri" w:cs="Calibri"/>
                              <w:noProof/>
                              <w:color w:val="0078D7"/>
                              <w:sz w:val="20"/>
                              <w:szCs w:val="20"/>
                            </w:rPr>
                          </w:pPr>
                          <w:r w:rsidRPr="000C6F4F">
                            <w:rPr>
                              <w:rFonts w:ascii="Calibri" w:eastAsia="Calibri" w:hAnsi="Calibri" w:cs="Calibri"/>
                              <w:noProof/>
                              <w:color w:val="0078D7"/>
                              <w:sz w:val="20"/>
                              <w:szCs w:val="20"/>
                            </w:rPr>
                            <w:t>C1 - Interne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1A5BEAC" id="_x0000_t202" coordsize="21600,21600" o:spt="202" path="m,l,21600r21600,l21600,xe">
              <v:stroke joinstyle="miter"/>
              <v:path gradientshapeok="t" o:connecttype="rect"/>
            </v:shapetype>
            <v:shape id="Zone de texte 1" o:spid="_x0000_s1028" type="#_x0000_t202" alt="C1 - Interne" style="position:absolute;margin-left:0;margin-top:0;width:47.6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" filled="f" stroked="f">
              <v:textbox style="mso-fit-shape-to-text:t" inset="0,0,0,15pt">
                <w:txbxContent>
                  <w:p w14:paraId="6724E1DD" w14:textId="0CF9C623" w:rsidR="000C6F4F" w:rsidRPr="000C6F4F" w:rsidRDefault="000C6F4F" w:rsidP="000C6F4F">
                    <w:pPr>
                      <w:spacing w:after="0"/>
                      <w:rPr>
                        <w:rFonts w:ascii="Calibri" w:eastAsia="Calibri" w:hAnsi="Calibri" w:cs="Calibri"/>
                        <w:noProof/>
                        <w:color w:val="0078D7"/>
                        <w:sz w:val="20"/>
                        <w:szCs w:val="20"/>
                      </w:rPr>
                    </w:pPr>
                    <w:r w:rsidRPr="000C6F4F">
                      <w:rPr>
                        <w:rFonts w:ascii="Calibri" w:eastAsia="Calibri" w:hAnsi="Calibri" w:cs="Calibri"/>
                        <w:noProof/>
                        <w:color w:val="0078D7"/>
                        <w:sz w:val="20"/>
                        <w:szCs w:val="20"/>
                      </w:rPr>
                      <w:t>C1 - Interne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C303C" w14:textId="77777777" w:rsidR="000C6F4F" w:rsidRDefault="000C6F4F" w:rsidP="000C6F4F">
      <w:pPr>
        <w:spacing w:after="0" w:line="240" w:lineRule="auto"/>
      </w:pPr>
      <w:r>
        <w:separator/>
      </w:r>
    </w:p>
  </w:footnote>
  <w:footnote w:type="continuationSeparator" w:id="0">
    <w:p w14:paraId="34A57EA7" w14:textId="77777777" w:rsidR="000C6F4F" w:rsidRDefault="000C6F4F" w:rsidP="000C6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B5B9A"/>
    <w:multiLevelType w:val="hybridMultilevel"/>
    <w:tmpl w:val="94D8D0DA"/>
    <w:lvl w:ilvl="0" w:tplc="8A12582A">
      <w:numFmt w:val="bullet"/>
      <w:lvlText w:val="·"/>
      <w:lvlJc w:val="left"/>
      <w:pPr>
        <w:ind w:left="720" w:hanging="360"/>
      </w:pPr>
      <w:rPr>
        <w:rFonts w:ascii="Montserrat" w:eastAsia="Times New Roman" w:hAnsi="Montserra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3E0DE8"/>
    <w:multiLevelType w:val="hybridMultilevel"/>
    <w:tmpl w:val="26362E72"/>
    <w:lvl w:ilvl="0" w:tplc="6E3697E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9E27A7"/>
    <w:multiLevelType w:val="hybridMultilevel"/>
    <w:tmpl w:val="C3D0A7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692271516">
    <w:abstractNumId w:val="1"/>
  </w:num>
  <w:num w:numId="2" w16cid:durableId="2000503476">
    <w:abstractNumId w:val="0"/>
  </w:num>
  <w:num w:numId="3" w16cid:durableId="163875699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4F"/>
    <w:rsid w:val="000C6F4F"/>
    <w:rsid w:val="00106460"/>
    <w:rsid w:val="002576AB"/>
    <w:rsid w:val="003C5520"/>
    <w:rsid w:val="00624474"/>
    <w:rsid w:val="006E3B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AB67"/>
  <w15:chartTrackingRefBased/>
  <w15:docId w15:val="{35BF16F6-1A10-4A6B-8C63-24BD5E80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F4F"/>
    <w:rPr>
      <w:rFonts w:eastAsiaTheme="majorEastAsia" w:cstheme="majorBidi"/>
      <w:color w:val="272727" w:themeColor="text1" w:themeTint="D8"/>
    </w:rPr>
  </w:style>
  <w:style w:type="paragraph" w:styleId="Title">
    <w:name w:val="Title"/>
    <w:basedOn w:val="Normal"/>
    <w:next w:val="Normal"/>
    <w:link w:val="TitleChar"/>
    <w:uiPriority w:val="10"/>
    <w:qFormat/>
    <w:rsid w:val="000C6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F4F"/>
    <w:pPr>
      <w:spacing w:before="160"/>
      <w:jc w:val="center"/>
    </w:pPr>
    <w:rPr>
      <w:i/>
      <w:iCs/>
      <w:color w:val="404040" w:themeColor="text1" w:themeTint="BF"/>
    </w:rPr>
  </w:style>
  <w:style w:type="character" w:customStyle="1" w:styleId="QuoteChar">
    <w:name w:val="Quote Char"/>
    <w:basedOn w:val="DefaultParagraphFont"/>
    <w:link w:val="Quote"/>
    <w:uiPriority w:val="29"/>
    <w:rsid w:val="000C6F4F"/>
    <w:rPr>
      <w:i/>
      <w:iCs/>
      <w:color w:val="404040" w:themeColor="text1" w:themeTint="BF"/>
    </w:rPr>
  </w:style>
  <w:style w:type="paragraph" w:styleId="ListParagraph">
    <w:name w:val="List Paragraph"/>
    <w:aliases w:val="Puce focus,Contact,R1,Conclu,Par. de liste,ONX_Paragraphe de liste,6 pt paragraphe carré,texte de base,Paragraphe de liste 2,calia titre 3,Paragraphe,Normal bullet 2,List Paragraph1,Titree 2,texte tableau,lp1,P1 Pharos"/>
    <w:basedOn w:val="Normal"/>
    <w:link w:val="ListParagraphChar"/>
    <w:uiPriority w:val="34"/>
    <w:qFormat/>
    <w:rsid w:val="000C6F4F"/>
    <w:pPr>
      <w:ind w:left="720"/>
      <w:contextualSpacing/>
    </w:pPr>
  </w:style>
  <w:style w:type="character" w:styleId="IntenseEmphasis">
    <w:name w:val="Intense Emphasis"/>
    <w:basedOn w:val="DefaultParagraphFont"/>
    <w:uiPriority w:val="21"/>
    <w:qFormat/>
    <w:rsid w:val="000C6F4F"/>
    <w:rPr>
      <w:i/>
      <w:iCs/>
      <w:color w:val="0F4761" w:themeColor="accent1" w:themeShade="BF"/>
    </w:rPr>
  </w:style>
  <w:style w:type="paragraph" w:styleId="IntenseQuote">
    <w:name w:val="Intense Quote"/>
    <w:basedOn w:val="Normal"/>
    <w:next w:val="Normal"/>
    <w:link w:val="IntenseQuoteChar"/>
    <w:uiPriority w:val="30"/>
    <w:qFormat/>
    <w:rsid w:val="000C6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F4F"/>
    <w:rPr>
      <w:i/>
      <w:iCs/>
      <w:color w:val="0F4761" w:themeColor="accent1" w:themeShade="BF"/>
    </w:rPr>
  </w:style>
  <w:style w:type="character" w:styleId="IntenseReference">
    <w:name w:val="Intense Reference"/>
    <w:basedOn w:val="DefaultParagraphFont"/>
    <w:uiPriority w:val="32"/>
    <w:qFormat/>
    <w:rsid w:val="000C6F4F"/>
    <w:rPr>
      <w:b/>
      <w:bCs/>
      <w:smallCaps/>
      <w:color w:val="0F4761" w:themeColor="accent1" w:themeShade="BF"/>
      <w:spacing w:val="5"/>
    </w:rPr>
  </w:style>
  <w:style w:type="paragraph" w:styleId="NormalWeb">
    <w:name w:val="Normal (Web)"/>
    <w:basedOn w:val="Normal"/>
    <w:uiPriority w:val="99"/>
    <w:unhideWhenUsed/>
    <w:rsid w:val="000C6F4F"/>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Footer">
    <w:name w:val="footer"/>
    <w:basedOn w:val="Normal"/>
    <w:link w:val="FooterChar"/>
    <w:uiPriority w:val="99"/>
    <w:unhideWhenUsed/>
    <w:rsid w:val="000C6F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6F4F"/>
  </w:style>
  <w:style w:type="character" w:customStyle="1" w:styleId="ListParagraphChar">
    <w:name w:val="List Paragraph Char"/>
    <w:aliases w:val="Puce focus Char,Contact Char,R1 Char,Conclu Char,Par. de liste Char,ONX_Paragraphe de liste Char,6 pt paragraphe carré Char,texte de base Char,Paragraphe de liste 2 Char,calia titre 3 Char,Paragraphe Char,Normal bullet 2 Char"/>
    <w:basedOn w:val="DefaultParagraphFont"/>
    <w:link w:val="ListParagraph"/>
    <w:uiPriority w:val="34"/>
    <w:qFormat/>
    <w:locked/>
    <w:rsid w:val="00257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24291">
      <w:bodyDiv w:val="1"/>
      <w:marLeft w:val="0"/>
      <w:marRight w:val="0"/>
      <w:marTop w:val="0"/>
      <w:marBottom w:val="0"/>
      <w:divBdr>
        <w:top w:val="none" w:sz="0" w:space="0" w:color="auto"/>
        <w:left w:val="none" w:sz="0" w:space="0" w:color="auto"/>
        <w:bottom w:val="none" w:sz="0" w:space="0" w:color="auto"/>
        <w:right w:val="none" w:sz="0" w:space="0" w:color="auto"/>
      </w:divBdr>
    </w:div>
    <w:div w:id="521360389">
      <w:bodyDiv w:val="1"/>
      <w:marLeft w:val="0"/>
      <w:marRight w:val="0"/>
      <w:marTop w:val="0"/>
      <w:marBottom w:val="0"/>
      <w:divBdr>
        <w:top w:val="none" w:sz="0" w:space="0" w:color="auto"/>
        <w:left w:val="none" w:sz="0" w:space="0" w:color="auto"/>
        <w:bottom w:val="none" w:sz="0" w:space="0" w:color="auto"/>
        <w:right w:val="none" w:sz="0" w:space="0" w:color="auto"/>
      </w:divBdr>
    </w:div>
    <w:div w:id="176973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Jurister_x00e9_f_x00e9_rent xmlns="beec32a9-2f86-4d36-8d48-f87b8003c444">
      <UserInfo>
        <DisplayName/>
        <AccountId xsi:nil="true"/>
        <AccountType/>
      </UserInfo>
    </Jurister_x00e9_f_x00e9_rent>
    <domaine xmlns="beec32a9-2f86-4d36-8d48-f87b8003c444">clauses générales</domaine>
    <Modop xmlns="beec32a9-2f86-4d36-8d48-f87b8003c444" xsi:nil="true"/>
    <typologiedem_x00e9_tier xmlns="beec32a9-2f86-4d36-8d48-f87b8003c444">BSCC_commercial</typologiedem_x00e9_tier>
    <datedemise_x00e0_jourdelaclause xmlns="beec32a9-2f86-4d36-8d48-f87b8003c444">2025-06-29T22:00:00+00:00</datedemise_x00e0_jourdelaclause>
    <Familledeclause xmlns="beec32a9-2f86-4d36-8d48-f87b8003c444">définitions</Familledeclause>
    <Contributeur xmlns="beec32a9-2f86-4d36-8d48-f87b8003c444">
      <UserInfo>
        <DisplayName>elise.auvray@laposte.fr</DisplayName>
        <AccountId>188</AccountId>
        <AccountType/>
      </UserInfo>
    </Contributeu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E73E4B400A9D4BBC60B3DD46FD33AE" ma:contentTypeVersion="7" ma:contentTypeDescription="Crée un document." ma:contentTypeScope="" ma:versionID="34bf87f7df401f35540e745a35ce95e1">
  <xsd:schema xmlns:xsd="http://www.w3.org/2001/XMLSchema" xmlns:xs="http://www.w3.org/2001/XMLSchema" xmlns:p="http://schemas.microsoft.com/office/2006/metadata/properties" xmlns:ns2="beec32a9-2f86-4d36-8d48-f87b8003c444" targetNamespace="http://schemas.microsoft.com/office/2006/metadata/properties" ma:root="true" ma:fieldsID="dde7ca28abb249f5113fe0d7442c134a" ns2:_="">
    <xsd:import namespace="beec32a9-2f86-4d36-8d48-f87b8003c444"/>
    <xsd:element name="properties">
      <xsd:complexType>
        <xsd:sequence>
          <xsd:element name="documentManagement">
            <xsd:complexType>
              <xsd:all>
                <xsd:element ref="ns2:Jurister_x00e9_f_x00e9_rent" minOccurs="0"/>
                <xsd:element ref="ns2:Contributeur" minOccurs="0"/>
                <xsd:element ref="ns2:typologiedem_x00e9_tier" minOccurs="0"/>
                <xsd:element ref="ns2:Familledeclause" minOccurs="0"/>
                <xsd:element ref="ns2:datedemise_x00e0_jourdelaclause" minOccurs="0"/>
                <xsd:element ref="ns2:domaine" minOccurs="0"/>
                <xsd:element ref="ns2:Modo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2a9-2f86-4d36-8d48-f87b8003c444" elementFormDefault="qualified">
    <xsd:import namespace="http://schemas.microsoft.com/office/2006/documentManagement/types"/>
    <xsd:import namespace="http://schemas.microsoft.com/office/infopath/2007/PartnerControls"/>
    <xsd:element name="Jurister_x00e9_f_x00e9_rent" ma:index="8" nillable="true" ma:displayName="Juriste référent" ma:format="Dropdown" ma:list="UserInfo" ma:SharePointGroup="0" ma:internalName="Jurister_x00e9_f_x00e9_rent">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ributeur" ma:index="9" nillable="true" ma:displayName="Contributeur" ma:format="Dropdown" ma:list="UserInfo" ma:SharePointGroup="0" ma:internalName="Contributeu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ypologiedem_x00e9_tier" ma:index="10" nillable="true" ma:displayName="typologie de métier" ma:format="Dropdown" ma:internalName="typologiedem_x00e9_tier">
      <xsd:simpleType>
        <xsd:restriction base="dms:Choice">
          <xsd:enumeration value="BSCC_commercial"/>
          <xsd:enumeration value="BGPN_commercial"/>
          <xsd:enumeration value="Corporate"/>
          <xsd:enumeration value="La Banque Postale"/>
          <xsd:enumeration value="DRH_G"/>
        </xsd:restriction>
      </xsd:simpleType>
    </xsd:element>
    <xsd:element name="Familledeclause" ma:index="11" nillable="true" ma:displayName="Famille de clause" ma:description="liste des différentes types de clauses composant un contrat juridique" ma:format="Dropdown" ma:internalName="Familledeclause">
      <xsd:simpleType>
        <xsd:restriction base="dms:Choice">
          <xsd:enumeration value="durée"/>
          <xsd:enumeration value="Audit"/>
          <xsd:enumeration value="conformité"/>
          <xsd:enumeration value="responsabilité"/>
          <xsd:enumeration value="pénalités"/>
          <xsd:enumeration value="intitui personae"/>
          <xsd:enumeration value="propriété intellectuelle"/>
          <xsd:enumeration value="transfert de propriété et de risque"/>
          <xsd:enumeration value="confidentialité"/>
          <xsd:enumeration value="exclusivité"/>
          <xsd:enumeration value="force majeur"/>
          <xsd:enumeration value="modification"/>
          <xsd:enumeration value="règlement des litiges"/>
          <xsd:enumeration value="paiement"/>
          <xsd:enumeration value="Données personnelles"/>
          <xsd:enumeration value="preuve"/>
          <xsd:enumeration value="définitions"/>
          <xsd:enumeration value="prestations"/>
          <xsd:enumeration value="Objet"/>
          <xsd:enumeration value="Préambule"/>
          <xsd:enumeration value="Engagement des parties"/>
          <xsd:enumeration value="facturation"/>
          <xsd:enumeration value="livraison"/>
          <xsd:enumeration value="suivi du contrat"/>
          <xsd:enumeration value="suivi de la prestation"/>
          <xsd:enumeration value="assurances"/>
          <xsd:enumeration value="communication"/>
          <xsd:enumeration value="coopération"/>
          <xsd:enumeration value="résiliation"/>
          <xsd:enumeration value="démarque"/>
          <xsd:enumeration value="garantie"/>
          <xsd:enumeration value="indépendance des Parties"/>
          <xsd:enumeration value="Indépendance des clauses"/>
          <xsd:enumeration value="Intégralité du Contrat"/>
          <xsd:enumeration value="Effets du terme du Contrat"/>
          <xsd:enumeration value="prix"/>
          <xsd:enumeration value="révision de prix"/>
          <xsd:enumeration value="Annexe"/>
          <xsd:enumeration value="droit applicable"/>
          <xsd:enumeration value="juridiction compétente"/>
          <xsd:enumeration value="MARL (moyen alternatif de règlement des litiges)"/>
          <xsd:enumeration value="Partie"/>
        </xsd:restriction>
      </xsd:simpleType>
    </xsd:element>
    <xsd:element name="datedemise_x00e0_jourdelaclause" ma:index="12" nillable="true" ma:displayName="date de mise à jour de la clause" ma:format="DateTime" ma:internalName="datedemise_x00e0_jourdelaclause">
      <xsd:simpleType>
        <xsd:restriction base="dms:DateTime"/>
      </xsd:simpleType>
    </xsd:element>
    <xsd:element name="domaine" ma:index="13" nillable="true" ma:displayName="domaine" ma:format="Dropdown" ma:internalName="domaine">
      <xsd:simpleType>
        <xsd:restriction base="dms:Choice">
          <xsd:enumeration value="clauses générales"/>
          <xsd:enumeration value="clauses spécifiques achat"/>
          <xsd:enumeration value="clauses spécifiques sur mesure"/>
          <xsd:enumeration value="clauses spécifiques Distribution"/>
          <xsd:enumeration value="clauses spécifiques immobilier"/>
          <xsd:enumeration value="clauses spécifiques partenariat"/>
          <xsd:enumeration value="Choix 7"/>
        </xsd:restriction>
      </xsd:simpleType>
    </xsd:element>
    <xsd:element name="Modop" ma:index="14" nillable="true" ma:displayName="Modop" ma:format="Dropdown" ma:internalName="Modop">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EE876F-7D8A-42FF-B1CC-3E5274E96489}">
  <ds:schemaRefs>
    <ds:schemaRef ds:uri="http://schemas.microsoft.com/office/2006/metadata/properties"/>
    <ds:schemaRef ds:uri="http://schemas.microsoft.com/office/infopath/2007/PartnerControls"/>
    <ds:schemaRef ds:uri="beec32a9-2f86-4d36-8d48-f87b8003c444"/>
  </ds:schemaRefs>
</ds:datastoreItem>
</file>

<file path=customXml/itemProps2.xml><?xml version="1.0" encoding="utf-8"?>
<ds:datastoreItem xmlns:ds="http://schemas.openxmlformats.org/officeDocument/2006/customXml" ds:itemID="{4B4DDFC8-AC11-42A0-B9F8-9667607F7142}">
  <ds:schemaRefs>
    <ds:schemaRef ds:uri="http://schemas.microsoft.com/sharepoint/v3/contenttype/forms"/>
  </ds:schemaRefs>
</ds:datastoreItem>
</file>

<file path=customXml/itemProps3.xml><?xml version="1.0" encoding="utf-8"?>
<ds:datastoreItem xmlns:ds="http://schemas.openxmlformats.org/officeDocument/2006/customXml" ds:itemID="{FC18527B-CDDD-4257-A627-9BCF4F88D1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2a9-2f86-4d36-8d48-f87b8003c4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e0428da-ac0f-4a84-a429-a80e20cb35de}" enabled="1" method="Standard" siteId="{80c03608-5f64-40bb-9c70-9394abe6011c}" contentBits="2" removed="0"/>
</clbl:labelList>
</file>

<file path=docProps/app.xml><?xml version="1.0" encoding="utf-8"?>
<Properties xmlns="http://schemas.openxmlformats.org/officeDocument/2006/extended-properties" xmlns:vt="http://schemas.openxmlformats.org/officeDocument/2006/docPropsVTypes">
  <Template>Normal</Template>
  <TotalTime>6</TotalTime>
  <Pages>1</Pages>
  <Words>446</Words>
  <Characters>2314</Characters>
  <Application>Microsoft Office Word</Application>
  <DocSecurity>0</DocSecurity>
  <Lines>45</Lines>
  <Paragraphs>21</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FAVROUX Léonie [EXT]</dc:creator>
  <cp:keywords/>
  <dc:description/>
  <cp:lastModifiedBy>CAUSSE Arthur [EXT]</cp:lastModifiedBy>
  <cp:revision>2</cp:revision>
  <dcterms:created xsi:type="dcterms:W3CDTF">2025-06-06T14:59:00Z</dcterms:created>
  <dcterms:modified xsi:type="dcterms:W3CDTF">2025-08-28T11:02:00Z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421588fe,3f0f696d,364a70f8</vt:lpwstr>
  </property>
  <property fmtid="{D5CDD505-2E9C-101B-9397-08002B2CF9AE}" pid="3" name="ClassificationContentMarkingFooterFontProps">
    <vt:lpwstr>#0078d7,10,Calibri</vt:lpwstr>
  </property>
  <property fmtid="{D5CDD505-2E9C-101B-9397-08002B2CF9AE}" pid="4" name="ClassificationContentMarkingFooterText">
    <vt:lpwstr>C1 - Interne</vt:lpwstr>
  </property>
  <property fmtid="{D5CDD505-2E9C-101B-9397-08002B2CF9AE}" pid="5" name="ContentTypeId">
    <vt:lpwstr>0x01010007E73E4B400A9D4BBC60B3DD46FD33AE</vt:lpwstr>
  </property>
  <property fmtid="{D5CDD505-2E9C-101B-9397-08002B2CF9AE}" pid="6" name="Order">
    <vt:r8>325500</vt:r8>
  </property>
  <property fmtid="{D5CDD505-2E9C-101B-9397-08002B2CF9AE}" pid="7" name="xd_Signature">
    <vt:bool>false</vt:bool>
  </property>
  <property fmtid="{D5CDD505-2E9C-101B-9397-08002B2CF9AE}" pid="8" name="xd_ProgID">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_ExtendedDescription">
    <vt:lpwstr/>
  </property>
  <property fmtid="{D5CDD505-2E9C-101B-9397-08002B2CF9AE}" pid="14" name="TriggerFlowInfo">
    <vt:lpwstr/>
  </property>
</Properties>
</file>