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770FF" w:rsidR="00BD33B8" w:rsidP="00B770FF" w:rsidRDefault="00BD33B8" w14:paraId="4DE5E282" w14:textId="56AAEF0F">
      <w:pPr>
        <w:spacing w:after="240" w:line="276" w:lineRule="auto"/>
        <w:jc w:val="both"/>
        <w:rPr>
          <w:rFonts w:ascii="Montserrat" w:hAnsi="Montserrat" w:eastAsia="Times New Roman" w:cs="Times New Roman"/>
          <w:b/>
          <w:iCs/>
          <w:kern w:val="0"/>
          <w:sz w:val="18"/>
          <w:szCs w:val="18"/>
          <w:lang w:eastAsia="fr-FR"/>
          <w14:ligatures w14:val="none"/>
        </w:rPr>
      </w:pPr>
      <w:r w:rsidRPr="5971EBC9" w:rsidR="00BD33B8">
        <w:rPr>
          <w:rFonts w:ascii="Montserrat" w:hAnsi="Montserrat" w:eastAsia="Times New Roman" w:cs="Times New Roman"/>
          <w:b w:val="1"/>
          <w:bCs w:val="1"/>
          <w:kern w:val="0"/>
          <w:sz w:val="18"/>
          <w:szCs w:val="18"/>
          <w:lang w:eastAsia="fr-FR"/>
          <w14:ligatures w14:val="none"/>
        </w:rPr>
        <w:t>FORCE MAJEURE</w:t>
      </w:r>
    </w:p>
    <w:p w:rsidRPr="00B770FF" w:rsidR="00BD33B8" w:rsidP="5971EBC9" w:rsidRDefault="00BD33B8" w14:paraId="0599C6BC" w14:textId="5F29EC11">
      <w:pPr>
        <w:pBdr>
          <w:top w:val="nil" w:color="000000" w:sz="0" w:space="0"/>
          <w:left w:val="nil" w:color="000000" w:sz="0" w:space="0"/>
          <w:bottom w:val="nil" w:color="000000" w:sz="0" w:space="0"/>
          <w:right w:val="nil" w:color="000000" w:sz="0" w:space="0"/>
          <w:between w:val="nil" w:color="000000" w:sz="0" w:space="0"/>
        </w:pBdr>
        <w:spacing w:after="240" w:line="276"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5971EBC9" w:rsidR="1C14C5A2">
        <w:rPr>
          <w:rFonts w:ascii="Montserrat" w:hAnsi="Montserrat" w:eastAsia="Montserrat" w:cs="Montserrat"/>
          <w:b w:val="0"/>
          <w:bCs w:val="0"/>
          <w:i w:val="0"/>
          <w:iCs w:val="0"/>
          <w:caps w:val="0"/>
          <w:smallCaps w:val="0"/>
          <w:noProof w:val="0"/>
          <w:color w:val="000000" w:themeColor="text1" w:themeTint="FF" w:themeShade="FF"/>
          <w:sz w:val="18"/>
          <w:szCs w:val="18"/>
          <w:lang w:val="fr-FR"/>
        </w:rPr>
        <w:t>La notion de force majeure se définit comme l’événement échappant au contrôle du débiteur, qui ne pouvait être raisonnablement prévu lors de la conclusion du contrat et dont les effets ne peuvent être évités par des mesures appropriées (Code civil article 1218 du code civil).</w:t>
      </w:r>
    </w:p>
    <w:p w:rsidRPr="00B770FF" w:rsidR="00BD33B8" w:rsidP="5971EBC9" w:rsidRDefault="00BD33B8" w14:paraId="53F63046" w14:textId="4C34A3FD">
      <w:pPr>
        <w:pBdr>
          <w:top w:val="nil" w:color="000000" w:sz="0" w:space="0"/>
          <w:left w:val="nil" w:color="000000" w:sz="0" w:space="0"/>
          <w:bottom w:val="nil" w:color="000000" w:sz="0" w:space="0"/>
          <w:right w:val="nil" w:color="000000" w:sz="0" w:space="0"/>
          <w:between w:val="nil" w:color="000000" w:sz="0" w:space="0"/>
        </w:pBdr>
        <w:spacing w:after="240" w:line="276"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5971EBC9" w:rsidR="1C14C5A2">
        <w:rPr>
          <w:rFonts w:ascii="Montserrat" w:hAnsi="Montserrat" w:eastAsia="Montserrat" w:cs="Montserrat"/>
          <w:b w:val="0"/>
          <w:bCs w:val="0"/>
          <w:i w:val="0"/>
          <w:iCs w:val="0"/>
          <w:caps w:val="0"/>
          <w:smallCaps w:val="0"/>
          <w:noProof w:val="0"/>
          <w:color w:val="000000" w:themeColor="text1" w:themeTint="FF" w:themeShade="FF"/>
          <w:sz w:val="18"/>
          <w:szCs w:val="18"/>
          <w:lang w:val="fr-FR"/>
        </w:rPr>
        <w:t>La Partie qui invoque la force majeure doit démontrer la réalité de l'événement de force majeure et la notifier à l’autre Partie par lettre recommandée avec avis de réception</w:t>
      </w:r>
      <w:r w:rsidRPr="5971EBC9" w:rsidR="45677480">
        <w:rPr>
          <w:rFonts w:ascii="Montserrat" w:hAnsi="Montserrat" w:eastAsia="Calibri" w:cs="Times New Roman"/>
          <w:sz w:val="18"/>
          <w:szCs w:val="18"/>
        </w:rPr>
        <w:t xml:space="preserve"> dans les 24 heures</w:t>
      </w:r>
      <w:r w:rsidRPr="5971EBC9" w:rsidR="1C14C5A2">
        <w:rPr>
          <w:rFonts w:ascii="Montserrat" w:hAnsi="Montserrat" w:eastAsia="Montserrat" w:cs="Montserrat"/>
          <w:b w:val="0"/>
          <w:bCs w:val="0"/>
          <w:i w:val="0"/>
          <w:iCs w:val="0"/>
          <w:caps w:val="0"/>
          <w:smallCaps w:val="0"/>
          <w:noProof w:val="0"/>
          <w:color w:val="000000" w:themeColor="text1" w:themeTint="FF" w:themeShade="FF"/>
          <w:sz w:val="18"/>
          <w:szCs w:val="18"/>
          <w:lang w:val="fr-FR"/>
        </w:rPr>
        <w:t>.</w:t>
      </w:r>
    </w:p>
    <w:p w:rsidRPr="00B770FF" w:rsidR="00BD33B8" w:rsidP="00B770FF" w:rsidRDefault="00BD33B8" w14:paraId="4984751F" w14:textId="5A0AEAC3">
      <w:pPr>
        <w:spacing w:after="240" w:line="276" w:lineRule="auto"/>
        <w:jc w:val="both"/>
      </w:pPr>
      <w:r w:rsidRPr="5971EBC9" w:rsidR="1C14C5A2">
        <w:rPr>
          <w:rFonts w:ascii="Montserrat" w:hAnsi="Montserrat" w:eastAsia="Montserrat" w:cs="Montserrat"/>
          <w:b w:val="0"/>
          <w:bCs w:val="0"/>
          <w:i w:val="0"/>
          <w:iCs w:val="0"/>
          <w:caps w:val="0"/>
          <w:smallCaps w:val="0"/>
          <w:noProof w:val="0"/>
          <w:color w:val="000000" w:themeColor="text1" w:themeTint="FF" w:themeShade="FF"/>
          <w:sz w:val="18"/>
          <w:szCs w:val="18"/>
          <w:lang w:val="fr-FR"/>
        </w:rPr>
        <w:t xml:space="preserve">En cas d’empêchement temporaire d’exécuter les prestations, objet des présentes, l’exécution de l’obligation est suspendue à moins que le retard qui en résulterait ne justifie la résolution du Contrat. </w:t>
      </w:r>
      <w:r w:rsidRPr="5971EBC9" w:rsidR="59B29395">
        <w:rPr>
          <w:rFonts w:ascii="Montserrat" w:hAnsi="Montserrat" w:eastAsia="Calibri" w:cs="Times New Roman"/>
          <w:sz w:val="18"/>
          <w:szCs w:val="18"/>
        </w:rPr>
        <w:t>L’exécution des obligations de la Partie empêchée est alors reportée d’une période au moins égale à celle de la durée de la suspension due à cette cause.</w:t>
      </w:r>
      <w:r w:rsidRPr="5971EBC9" w:rsidR="59B29395">
        <w:rPr>
          <w:rFonts w:ascii="Montserrat" w:hAnsi="Montserrat" w:eastAsia="Montserrat" w:cs="Montserrat"/>
          <w:b w:val="0"/>
          <w:bCs w:val="0"/>
          <w:i w:val="0"/>
          <w:iCs w:val="0"/>
          <w:caps w:val="0"/>
          <w:smallCaps w:val="0"/>
          <w:noProof w:val="0"/>
          <w:color w:val="000000" w:themeColor="text1" w:themeTint="FF" w:themeShade="FF"/>
          <w:sz w:val="18"/>
          <w:szCs w:val="18"/>
          <w:lang w:val="fr-FR"/>
        </w:rPr>
        <w:t xml:space="preserve"> </w:t>
      </w:r>
    </w:p>
    <w:p w:rsidRPr="00B770FF" w:rsidR="00BD33B8" w:rsidP="5971EBC9" w:rsidRDefault="00BD33B8" w14:paraId="4E7D1CD2" w14:textId="1E39A678">
      <w:pPr>
        <w:spacing w:after="240" w:line="276" w:lineRule="auto"/>
        <w:jc w:val="both"/>
        <w:rPr>
          <w:rFonts w:ascii="Montserrat" w:hAnsi="Montserrat" w:eastAsia="Calibri" w:cs="Times New Roman"/>
          <w:sz w:val="18"/>
          <w:szCs w:val="18"/>
        </w:rPr>
      </w:pPr>
      <w:r w:rsidRPr="5971EBC9" w:rsidR="481886EE">
        <w:rPr>
          <w:rFonts w:ascii="Montserrat" w:hAnsi="Montserrat" w:eastAsia="Calibri" w:cs="Times New Roman"/>
          <w:sz w:val="18"/>
          <w:szCs w:val="18"/>
        </w:rPr>
        <w:t>Toutefois, en cas de suspension d’une durée supérieure à trente (30) jours calendaires, chaque Partie pourra prononcer la résiliation de plein droit de la présente convention par lettre recommandée avec accusé de réception adressée à l’autre Partie. La Partie empêchée de remplir ses obligations s'efforce d'en atténuer ou d'en supprimer les effets dans les meilleurs délais par tout moyen raisonnablement approprié.</w:t>
      </w:r>
      <w:r w:rsidRPr="5971EBC9" w:rsidR="481886EE">
        <w:rPr>
          <w:rFonts w:ascii="Montserrat" w:hAnsi="Montserrat" w:eastAsia="Calibri" w:cs="Times New Roman"/>
          <w:sz w:val="18"/>
          <w:szCs w:val="18"/>
        </w:rPr>
        <w:t xml:space="preserve"> </w:t>
      </w:r>
    </w:p>
    <w:p w:rsidRPr="00B770FF" w:rsidR="00BD33B8" w:rsidP="5971EBC9" w:rsidRDefault="00BD33B8" w14:paraId="79933590" w14:textId="34ECB0E4">
      <w:pPr>
        <w:pBdr>
          <w:top w:val="nil" w:color="000000" w:sz="0" w:space="0"/>
          <w:left w:val="nil" w:color="000000" w:sz="0" w:space="0"/>
          <w:bottom w:val="nil" w:color="000000" w:sz="0" w:space="0"/>
          <w:right w:val="nil" w:color="000000" w:sz="0" w:space="0"/>
          <w:between w:val="nil" w:color="000000" w:sz="0" w:space="0"/>
        </w:pBdr>
        <w:spacing w:after="240" w:line="276" w:lineRule="auto"/>
        <w:jc w:val="both"/>
      </w:pPr>
      <w:r w:rsidRPr="5971EBC9" w:rsidR="481886EE">
        <w:rPr>
          <w:rFonts w:ascii="Montserrat" w:hAnsi="Montserrat" w:eastAsia="Montserrat" w:cs="Montserrat"/>
          <w:b w:val="0"/>
          <w:bCs w:val="0"/>
          <w:i w:val="0"/>
          <w:iCs w:val="0"/>
          <w:caps w:val="0"/>
          <w:smallCaps w:val="0"/>
          <w:noProof w:val="0"/>
          <w:color w:val="000000" w:themeColor="text1" w:themeTint="FF" w:themeShade="FF"/>
          <w:sz w:val="18"/>
          <w:szCs w:val="18"/>
          <w:lang w:val="fr-FR"/>
        </w:rPr>
        <w:t>Si l’empêchement est définitif, le Contrat est résolu de plein droit par lettre recommandée avec avis de réception, sans indemnité ni préavis.</w:t>
      </w:r>
      <w:r w:rsidRPr="5971EBC9" w:rsidR="481886EE">
        <w:rPr>
          <w:rFonts w:ascii="Montserrat" w:hAnsi="Montserrat" w:eastAsia="Calibri" w:cs="Times New Roman"/>
          <w:sz w:val="18"/>
          <w:szCs w:val="18"/>
        </w:rPr>
        <w:t xml:space="preserve"> </w:t>
      </w:r>
    </w:p>
    <w:p w:rsidRPr="00B770FF" w:rsidR="00BD33B8" w:rsidP="00B770FF" w:rsidRDefault="00BD33B8" w14:paraId="1483391A" w14:textId="7D1623D8">
      <w:pPr>
        <w:spacing w:after="240" w:line="276" w:lineRule="auto"/>
        <w:jc w:val="both"/>
        <w:rPr>
          <w:rFonts w:ascii="Montserrat" w:hAnsi="Montserrat" w:eastAsia="Calibri" w:cs="Times New Roman"/>
          <w:kern w:val="0"/>
          <w:sz w:val="18"/>
          <w:szCs w:val="18"/>
          <w14:ligatures w14:val="none"/>
        </w:rPr>
      </w:pPr>
      <w:r w:rsidRPr="00B770FF" w:rsidR="00BD33B8">
        <w:rPr>
          <w:rFonts w:ascii="Montserrat" w:hAnsi="Montserrat" w:eastAsia="Calibri" w:cs="Times New Roman"/>
          <w:kern w:val="0"/>
          <w:sz w:val="18"/>
          <w:szCs w:val="18"/>
          <w14:ligatures w14:val="none"/>
        </w:rPr>
        <w:t>Aucune des Parties ne pourra être tenue responsable de défaut dans l’exécution de ses obligations au titre de la présente convention si un tel défaut résulte d’un évènement de force majeure, tel que défini par l’article 1</w:t>
      </w:r>
      <w:r w:rsidRPr="00B770FF" w:rsidR="3105F5C2">
        <w:rPr>
          <w:rFonts w:ascii="Montserrat" w:hAnsi="Montserrat" w:eastAsia="Calibri" w:cs="Times New Roman"/>
          <w:kern w:val="0"/>
          <w:sz w:val="18"/>
          <w:szCs w:val="18"/>
          <w14:ligatures w14:val="none"/>
        </w:rPr>
        <w:t>21</w:t>
      </w:r>
      <w:r w:rsidRPr="00B770FF" w:rsidR="00BD33B8">
        <w:rPr>
          <w:rFonts w:ascii="Montserrat" w:hAnsi="Montserrat" w:eastAsia="Calibri" w:cs="Times New Roman"/>
          <w:kern w:val="0"/>
          <w:sz w:val="18"/>
          <w:szCs w:val="18"/>
          <w14:ligatures w14:val="none"/>
        </w:rPr>
        <w:t>8 du Code civil et par la jurisprudence de la Cour de cassation relative à la force majeure.</w:t>
      </w:r>
    </w:p>
    <w:p w:rsidRPr="00B770FF" w:rsidR="00BD33B8" w:rsidP="00B770FF" w:rsidRDefault="00BD33B8" w14:textId="77777777" w14:paraId="2B6D0ACE">
      <w:pPr>
        <w:spacing w:after="240" w:line="276" w:lineRule="auto"/>
        <w:jc w:val="both"/>
        <w:rPr>
          <w:rFonts w:ascii="Montserrat" w:hAnsi="Montserrat" w:eastAsia="Calibri" w:cs="Times New Roman"/>
          <w:kern w:val="0"/>
          <w:sz w:val="18"/>
          <w:szCs w:val="18"/>
          <w14:ligatures w14:val="none"/>
        </w:rPr>
      </w:pPr>
      <w:r w:rsidRPr="00B770FF" w:rsidR="00BD33B8">
        <w:rPr>
          <w:rFonts w:ascii="Montserrat" w:hAnsi="Montserrat" w:eastAsia="Calibri" w:cs="Times New Roman"/>
          <w:kern w:val="0"/>
          <w:sz w:val="18"/>
          <w:szCs w:val="18"/>
          <w14:ligatures w14:val="none"/>
        </w:rPr>
        <w:t xml:space="preserve"> </w:t>
      </w:r>
    </w:p>
    <w:sectPr w:rsidR="006E3B2C">
      <w:footerReference w:type="even" r:id="rId6"/>
      <w:footerReference w:type="default" r:id="rId7"/>
      <w:footerReference w:type="first" r:id="rId8"/>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6824" w:rsidP="00BD33B8" w:rsidRDefault="00216824" w14:paraId="29A0AC81" w14:textId="77777777">
      <w:pPr>
        <w:spacing w:after="0" w:line="240" w:lineRule="auto"/>
      </w:pPr>
      <w:r>
        <w:separator/>
      </w:r>
    </w:p>
  </w:endnote>
  <w:endnote w:type="continuationSeparator" w:id="0">
    <w:p w:rsidR="00216824" w:rsidP="00BD33B8" w:rsidRDefault="00216824" w14:paraId="5B40560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at">
    <w:panose1 w:val="00000500000000000000"/>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BD33B8" w:rsidRDefault="00BD33B8" w14:paraId="06A84B1E" w14:textId="23A18CB8">
    <w:pPr>
      <w:pStyle w:val="Pieddepage"/>
    </w:pPr>
    <w:r>
      <w:rPr>
        <w:noProof/>
      </w:rPr>
      <mc:AlternateContent>
        <mc:Choice Requires="wps">
          <w:drawing>
            <wp:anchor distT="0" distB="0" distL="0" distR="0" simplePos="0" relativeHeight="251659264" behindDoc="0" locked="0" layoutInCell="1" allowOverlap="1" wp14:anchorId="07A02BD7" wp14:editId="6A25FC46">
              <wp:simplePos x="635" y="635"/>
              <wp:positionH relativeFrom="page">
                <wp:align>center</wp:align>
              </wp:positionH>
              <wp:positionV relativeFrom="page">
                <wp:align>bottom</wp:align>
              </wp:positionV>
              <wp:extent cx="604520" cy="370205"/>
              <wp:effectExtent l="0" t="0" r="5080" b="0"/>
              <wp:wrapNone/>
              <wp:docPr id="1075650851" name="Zone de texte 2"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70205"/>
                      </a:xfrm>
                      <a:prstGeom prst="rect">
                        <a:avLst/>
                      </a:prstGeom>
                      <a:noFill/>
                      <a:ln>
                        <a:noFill/>
                      </a:ln>
                    </wps:spPr>
                    <wps:txbx>
                      <w:txbxContent>
                        <w:p w:rsidRPr="00BD33B8" w:rsidR="00BD33B8" w:rsidP="00BD33B8" w:rsidRDefault="00BD33B8" w14:paraId="5B8FC0F4" w14:textId="34EA2995">
                          <w:pPr>
                            <w:spacing w:after="0"/>
                            <w:rPr>
                              <w:rFonts w:ascii="Calibri" w:hAnsi="Calibri" w:eastAsia="Calibri" w:cs="Calibri"/>
                              <w:noProof/>
                              <w:color w:val="0078D7"/>
                              <w:sz w:val="20"/>
                              <w:szCs w:val="20"/>
                            </w:rPr>
                          </w:pPr>
                          <w:r w:rsidRPr="00BD33B8">
                            <w:rPr>
                              <w:rFonts w:ascii="Calibri" w:hAnsi="Calibri" w:eastAsia="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7A02BD7">
              <v:stroke joinstyle="miter"/>
              <v:path gradientshapeok="t" o:connecttype="rect"/>
            </v:shapetype>
            <v:shape id="Zone de texte 2" style="position:absolute;margin-left:0;margin-top:0;width:47.6pt;height:29.15pt;z-index:251659264;visibility:visible;mso-wrap-style:none;mso-wrap-distance-left:0;mso-wrap-distance-top:0;mso-wrap-distance-right:0;mso-wrap-distance-bottom:0;mso-position-horizontal:center;mso-position-horizontal-relative:page;mso-position-vertical:bottom;mso-position-vertical-relative:page;v-text-anchor:bottom" alt="C1 - Interne"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">
              <v:fill o:detectmouseclick="t"/>
              <v:textbox style="mso-fit-shape-to-text:t" inset="0,0,0,15pt">
                <w:txbxContent>
                  <w:p w:rsidRPr="00BD33B8" w:rsidR="00BD33B8" w:rsidP="00BD33B8" w:rsidRDefault="00BD33B8" w14:paraId="5B8FC0F4" w14:textId="34EA2995">
                    <w:pPr>
                      <w:spacing w:after="0"/>
                      <w:rPr>
                        <w:rFonts w:ascii="Calibri" w:hAnsi="Calibri" w:eastAsia="Calibri" w:cs="Calibri"/>
                        <w:noProof/>
                        <w:color w:val="0078D7"/>
                        <w:sz w:val="20"/>
                        <w:szCs w:val="20"/>
                      </w:rPr>
                    </w:pPr>
                    <w:r w:rsidRPr="00BD33B8">
                      <w:rPr>
                        <w:rFonts w:ascii="Calibri" w:hAnsi="Calibri" w:eastAsia="Calibri" w:cs="Calibri"/>
                        <w:noProof/>
                        <w:color w:val="0078D7"/>
                        <w:sz w:val="20"/>
                        <w:szCs w:val="20"/>
                      </w:rPr>
                      <w:t>C1 -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33B8" w:rsidRDefault="00BD33B8" w14:paraId="6E61C95C" w14:textId="0F16834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BD33B8" w:rsidRDefault="00BD33B8" w14:paraId="767C31DA" w14:textId="34BC7C29">
    <w:pPr>
      <w:pStyle w:val="Pieddepage"/>
    </w:pPr>
    <w:r>
      <w:rPr>
        <w:noProof/>
      </w:rPr>
      <mc:AlternateContent>
        <mc:Choice Requires="wps">
          <w:drawing>
            <wp:anchor distT="0" distB="0" distL="0" distR="0" simplePos="0" relativeHeight="251658240" behindDoc="0" locked="0" layoutInCell="1" allowOverlap="1" wp14:anchorId="3DF3FD8C" wp14:editId="3C3EF4DE">
              <wp:simplePos x="635" y="635"/>
              <wp:positionH relativeFrom="page">
                <wp:align>center</wp:align>
              </wp:positionH>
              <wp:positionV relativeFrom="page">
                <wp:align>bottom</wp:align>
              </wp:positionV>
              <wp:extent cx="604520" cy="370205"/>
              <wp:effectExtent l="0" t="0" r="5080" b="0"/>
              <wp:wrapNone/>
              <wp:docPr id="494983054" name="Zone de texte 1"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70205"/>
                      </a:xfrm>
                      <a:prstGeom prst="rect">
                        <a:avLst/>
                      </a:prstGeom>
                      <a:noFill/>
                      <a:ln>
                        <a:noFill/>
                      </a:ln>
                    </wps:spPr>
                    <wps:txbx>
                      <w:txbxContent>
                        <w:p w:rsidRPr="00BD33B8" w:rsidR="00BD33B8" w:rsidP="00BD33B8" w:rsidRDefault="00BD33B8" w14:paraId="18D12D96" w14:textId="2BCEA53E">
                          <w:pPr>
                            <w:spacing w:after="0"/>
                            <w:rPr>
                              <w:rFonts w:ascii="Calibri" w:hAnsi="Calibri" w:eastAsia="Calibri" w:cs="Calibri"/>
                              <w:noProof/>
                              <w:color w:val="0078D7"/>
                              <w:sz w:val="20"/>
                              <w:szCs w:val="20"/>
                            </w:rPr>
                          </w:pPr>
                          <w:r w:rsidRPr="00BD33B8">
                            <w:rPr>
                              <w:rFonts w:ascii="Calibri" w:hAnsi="Calibri" w:eastAsia="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DF3FD8C">
              <v:stroke joinstyle="miter"/>
              <v:path gradientshapeok="t" o:connecttype="rect"/>
            </v:shapetype>
            <v:shape id="Zone de texte 1" style="position:absolute;margin-left:0;margin-top:0;width:47.6pt;height:29.15pt;z-index:251658240;visibility:visible;mso-wrap-style:none;mso-wrap-distance-left:0;mso-wrap-distance-top:0;mso-wrap-distance-right:0;mso-wrap-distance-bottom:0;mso-position-horizontal:center;mso-position-horizontal-relative:page;mso-position-vertical:bottom;mso-position-vertical-relative:page;v-text-anchor:bottom" alt="C1 - Interne"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">
              <v:fill o:detectmouseclick="t"/>
              <v:textbox style="mso-fit-shape-to-text:t" inset="0,0,0,15pt">
                <w:txbxContent>
                  <w:p w:rsidRPr="00BD33B8" w:rsidR="00BD33B8" w:rsidP="00BD33B8" w:rsidRDefault="00BD33B8" w14:paraId="18D12D96" w14:textId="2BCEA53E">
                    <w:pPr>
                      <w:spacing w:after="0"/>
                      <w:rPr>
                        <w:rFonts w:ascii="Calibri" w:hAnsi="Calibri" w:eastAsia="Calibri" w:cs="Calibri"/>
                        <w:noProof/>
                        <w:color w:val="0078D7"/>
                        <w:sz w:val="20"/>
                        <w:szCs w:val="20"/>
                      </w:rPr>
                    </w:pPr>
                    <w:r w:rsidRPr="00BD33B8">
                      <w:rPr>
                        <w:rFonts w:ascii="Calibri" w:hAnsi="Calibri" w:eastAsia="Calibri" w:cs="Calibri"/>
                        <w:noProof/>
                        <w:color w:val="0078D7"/>
                        <w:sz w:val="20"/>
                        <w:szCs w:val="20"/>
                      </w:rPr>
                      <w:t>C1 -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6824" w:rsidP="00BD33B8" w:rsidRDefault="00216824" w14:paraId="6A9705BA" w14:textId="77777777">
      <w:pPr>
        <w:spacing w:after="0" w:line="240" w:lineRule="auto"/>
      </w:pPr>
      <w:r>
        <w:separator/>
      </w:r>
    </w:p>
  </w:footnote>
  <w:footnote w:type="continuationSeparator" w:id="0">
    <w:p w:rsidR="00216824" w:rsidP="00BD33B8" w:rsidRDefault="00216824" w14:paraId="70A9F868" w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3B8"/>
    <w:rsid w:val="00106460"/>
    <w:rsid w:val="00216824"/>
    <w:rsid w:val="003F470F"/>
    <w:rsid w:val="0059126F"/>
    <w:rsid w:val="005A2B6C"/>
    <w:rsid w:val="006064E4"/>
    <w:rsid w:val="006E3B2C"/>
    <w:rsid w:val="00B770FF"/>
    <w:rsid w:val="00BD33B8"/>
    <w:rsid w:val="1C14C5A2"/>
    <w:rsid w:val="3105F5C2"/>
    <w:rsid w:val="44EA5BD7"/>
    <w:rsid w:val="45677480"/>
    <w:rsid w:val="481886EE"/>
    <w:rsid w:val="5971EBC9"/>
    <w:rsid w:val="59B29395"/>
    <w:rsid w:val="69D54E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431E4"/>
  <w15:chartTrackingRefBased/>
  <w15:docId w15:val="{10635D21-F3FB-4F57-9244-0EEEFF1CB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BD33B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D33B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D33B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D33B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D33B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D33B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D33B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D33B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D33B8"/>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BD33B8"/>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link w:val="Titre2"/>
    <w:uiPriority w:val="9"/>
    <w:semiHidden/>
    <w:rsid w:val="00BD33B8"/>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semiHidden/>
    <w:rsid w:val="00BD33B8"/>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semiHidden/>
    <w:rsid w:val="00BD33B8"/>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BD33B8"/>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BD33B8"/>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BD33B8"/>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BD33B8"/>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BD33B8"/>
    <w:rPr>
      <w:rFonts w:eastAsiaTheme="majorEastAsia" w:cstheme="majorBidi"/>
      <w:color w:val="272727" w:themeColor="text1" w:themeTint="D8"/>
    </w:rPr>
  </w:style>
  <w:style w:type="paragraph" w:styleId="Titre">
    <w:name w:val="Title"/>
    <w:basedOn w:val="Normal"/>
    <w:next w:val="Normal"/>
    <w:link w:val="TitreCar"/>
    <w:uiPriority w:val="10"/>
    <w:qFormat/>
    <w:rsid w:val="00BD33B8"/>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BD33B8"/>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BD33B8"/>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BD33B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D33B8"/>
    <w:pPr>
      <w:spacing w:before="160"/>
      <w:jc w:val="center"/>
    </w:pPr>
    <w:rPr>
      <w:i/>
      <w:iCs/>
      <w:color w:val="404040" w:themeColor="text1" w:themeTint="BF"/>
    </w:rPr>
  </w:style>
  <w:style w:type="character" w:styleId="CitationCar" w:customStyle="1">
    <w:name w:val="Citation Car"/>
    <w:basedOn w:val="Policepardfaut"/>
    <w:link w:val="Citation"/>
    <w:uiPriority w:val="29"/>
    <w:rsid w:val="00BD33B8"/>
    <w:rPr>
      <w:i/>
      <w:iCs/>
      <w:color w:val="404040" w:themeColor="text1" w:themeTint="BF"/>
    </w:rPr>
  </w:style>
  <w:style w:type="paragraph" w:styleId="Paragraphedeliste">
    <w:name w:val="List Paragraph"/>
    <w:basedOn w:val="Normal"/>
    <w:uiPriority w:val="34"/>
    <w:qFormat/>
    <w:rsid w:val="00BD33B8"/>
    <w:pPr>
      <w:ind w:left="720"/>
      <w:contextualSpacing/>
    </w:pPr>
  </w:style>
  <w:style w:type="character" w:styleId="Accentuationintense">
    <w:name w:val="Intense Emphasis"/>
    <w:basedOn w:val="Policepardfaut"/>
    <w:uiPriority w:val="21"/>
    <w:qFormat/>
    <w:rsid w:val="00BD33B8"/>
    <w:rPr>
      <w:i/>
      <w:iCs/>
      <w:color w:val="0F4761" w:themeColor="accent1" w:themeShade="BF"/>
    </w:rPr>
  </w:style>
  <w:style w:type="paragraph" w:styleId="Citationintense">
    <w:name w:val="Intense Quote"/>
    <w:basedOn w:val="Normal"/>
    <w:next w:val="Normal"/>
    <w:link w:val="CitationintenseCar"/>
    <w:uiPriority w:val="30"/>
    <w:qFormat/>
    <w:rsid w:val="00BD33B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BD33B8"/>
    <w:rPr>
      <w:i/>
      <w:iCs/>
      <w:color w:val="0F4761" w:themeColor="accent1" w:themeShade="BF"/>
    </w:rPr>
  </w:style>
  <w:style w:type="character" w:styleId="Rfrenceintense">
    <w:name w:val="Intense Reference"/>
    <w:basedOn w:val="Policepardfaut"/>
    <w:uiPriority w:val="32"/>
    <w:qFormat/>
    <w:rsid w:val="00BD33B8"/>
    <w:rPr>
      <w:b/>
      <w:bCs/>
      <w:smallCaps/>
      <w:color w:val="0F4761" w:themeColor="accent1" w:themeShade="BF"/>
      <w:spacing w:val="5"/>
    </w:rPr>
  </w:style>
  <w:style w:type="paragraph" w:styleId="Pieddepage">
    <w:name w:val="footer"/>
    <w:basedOn w:val="Normal"/>
    <w:link w:val="PieddepageCar"/>
    <w:uiPriority w:val="99"/>
    <w:unhideWhenUsed/>
    <w:rsid w:val="00BD33B8"/>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BD33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3.xml" Id="rId8" /><Relationship Type="http://schemas.openxmlformats.org/officeDocument/2006/relationships/customXml" Target="../customXml/item3.xml" Id="rId13" /><Relationship Type="http://schemas.openxmlformats.org/officeDocument/2006/relationships/webSettings" Target="webSettings.xml" Id="rId3" /><Relationship Type="http://schemas.openxmlformats.org/officeDocument/2006/relationships/footer" Target="footer2.xml" Id="rId7" /><Relationship Type="http://schemas.openxmlformats.org/officeDocument/2006/relationships/customXml" Target="../customXml/item2.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customXml" Target="../customXml/item1.xml" Id="rId11"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
        <AccountId xsi:nil="true"/>
        <AccountType/>
      </UserInfo>
    </Jurister_x00e9_f_x00e9_rent>
    <domaine xmlns="beec32a9-2f86-4d36-8d48-f87b8003c444">clauses générales</domaine>
    <Modop xmlns="beec32a9-2f86-4d36-8d48-f87b8003c444" xsi:nil="true"/>
    <typologiedem_x00e9_tier xmlns="beec32a9-2f86-4d36-8d48-f87b8003c444">BSCC_commercial</typologiedem_x00e9_tier>
    <datedemise_x00e0_jourdelaclause xmlns="beec32a9-2f86-4d36-8d48-f87b8003c444">2025-06-29T22:00:00+00:00</datedemise_x00e0_jourdelaclause>
    <Familledeclause xmlns="beec32a9-2f86-4d36-8d48-f87b8003c444">force majeur</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8124A6AB-120A-47FD-9D99-47B8B8ADC397}"/>
</file>

<file path=customXml/itemProps2.xml><?xml version="1.0" encoding="utf-8"?>
<ds:datastoreItem xmlns:ds="http://schemas.openxmlformats.org/officeDocument/2006/customXml" ds:itemID="{C0C94896-4690-4AF4-A422-A5C4E347104C}"/>
</file>

<file path=customXml/itemProps3.xml><?xml version="1.0" encoding="utf-8"?>
<ds:datastoreItem xmlns:ds="http://schemas.openxmlformats.org/officeDocument/2006/customXml" ds:itemID="{B55BD138-6E31-4B33-B202-13D81ABE1FCE}"/>
</file>

<file path=docMetadata/LabelInfo.xml><?xml version="1.0" encoding="utf-8"?>
<clbl:labelList xmlns:clbl="http://schemas.microsoft.com/office/2020/mipLabelMetadata">
  <clbl:label id="{ee0428da-ac0f-4a84-a429-a80e20cb35de}" enabled="1" method="Standard" siteId="{80c03608-5f64-40bb-9c70-9394abe6011c}"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FAVROUX Léonie [EXT]</dc:creator>
  <cp:keywords/>
  <dc:description/>
  <cp:lastModifiedBy>AUVRAY Elise</cp:lastModifiedBy>
  <cp:revision>5</cp:revision>
  <dcterms:created xsi:type="dcterms:W3CDTF">2025-05-28T09:22:00Z</dcterms:created>
  <dcterms:modified xsi:type="dcterms:W3CDTF">2025-07-16T07:26:49Z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1d80d78e,401d2123,2398934e</vt:lpwstr>
  </property>
  <property fmtid="{D5CDD505-2E9C-101B-9397-08002B2CF9AE}" pid="3" name="ClassificationContentMarkingFooterFontProps">
    <vt:lpwstr>#0078d7,10,Calibri</vt:lpwstr>
  </property>
  <property fmtid="{D5CDD505-2E9C-101B-9397-08002B2CF9AE}" pid="4" name="ClassificationContentMarkingFooterText">
    <vt:lpwstr>C1 - Interne</vt:lpwstr>
  </property>
  <property fmtid="{D5CDD505-2E9C-101B-9397-08002B2CF9AE}" pid="5" name="ContentTypeId">
    <vt:lpwstr>0x01010007E73E4B400A9D4BBC60B3DD46FD33AE</vt:lpwstr>
  </property>
  <property fmtid="{D5CDD505-2E9C-101B-9397-08002B2CF9AE}" pid="6" name="Order">
    <vt:r8>320800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