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1" w:name="content"/>
    <w:p>
      <w:pPr>
        <w:pStyle w:val="FirstParagraph"/>
      </w:pPr>
      <w:r>
        <w:rPr>
          <w:b/>
          <w:bCs/>
        </w:rPr>
        <w:t xml:space="preserve">KEY PAPERS: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Dymond et al. (2002)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Phenological Differences in Tasseled Cap Indices Improve Deciduous Forest Classification</w:t>
      </w:r>
      <w:r>
        <w:t xml:space="preserve"> </w:t>
      </w:r>
      <w:r>
        <w:t xml:space="preserve">– DOI:</w:t>
      </w:r>
      <w:r>
        <w:t xml:space="preserve"> </w:t>
      </w:r>
      <w:hyperlink r:id="rId21">
        <w:r>
          <w:rPr>
            <w:rStyle w:val="Hyperlink"/>
          </w:rPr>
          <w:t xml:space="preserve">10.1016/S0034-4257(01)00324-8</w:t>
        </w:r>
      </w:hyperlink>
      <w:r>
        <w:br/>
      </w:r>
      <w:r>
        <w:rPr>
          <w:i/>
          <w:iCs/>
        </w:rPr>
        <w:t xml:space="preserve">Summary:</w:t>
      </w:r>
      <w:r>
        <w:t xml:space="preserve"> </w:t>
      </w:r>
      <w:r>
        <w:t xml:space="preserve">Showed that using multi-date “phenological” indices (e.g. Tasseled Cap greenness/wetness) improved discrimination of forest types. A simple spectral classification misidentified recent clear-cuts as</w:t>
      </w:r>
      <w:r>
        <w:t xml:space="preserve"> </w:t>
      </w:r>
      <w:r>
        <w:rPr>
          <w:i/>
          <w:iCs/>
        </w:rPr>
        <w:t xml:space="preserve">aspen/mixed deciduous</w:t>
      </w:r>
      <w:r>
        <w:t xml:space="preserve"> </w:t>
      </w:r>
      <w:r>
        <w:t xml:space="preserve">forest, whereas including seasonal data correctly labeled those areas as shrub/clearing</w:t>
      </w:r>
      <w:hyperlink r:id="rId22">
        <w:r>
          <w:rPr>
            <w:rStyle w:val="Hyperlink"/>
          </w:rPr>
          <w:t xml:space="preserve">[1]</w:t>
        </w:r>
      </w:hyperlink>
      <w:r>
        <w:t xml:space="preserve">. This highlights that post-harvest conifer stands with herbaceous regrowth can be confused with deciduous forest in single-date imagery.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Schroeder et al. (2011)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Mapping Wildfire and Clearcut Disturbances in Boreal Forests with Landsat Time Series</w:t>
      </w:r>
      <w:r>
        <w:t xml:space="preserve"> </w:t>
      </w:r>
      <w:r>
        <w:t xml:space="preserve">– DOI:</w:t>
      </w:r>
      <w:r>
        <w:t xml:space="preserve"> </w:t>
      </w:r>
      <w:hyperlink r:id="rId23">
        <w:r>
          <w:rPr>
            <w:rStyle w:val="Hyperlink"/>
          </w:rPr>
          <w:t xml:space="preserve">10.1016/j.rse.2011.02.013</w:t>
        </w:r>
      </w:hyperlink>
      <w:r>
        <w:br/>
      </w:r>
      <w:r>
        <w:rPr>
          <w:i/>
          <w:iCs/>
        </w:rPr>
        <w:t xml:space="preserve">Summary:</w:t>
      </w:r>
      <w:r>
        <w:t xml:space="preserve"> </w:t>
      </w:r>
      <w:r>
        <w:t xml:space="preserve">Found that burned and clear-cut areas exhibit similar spectral recovery trajectories (initial loss of canopy, then rapid green-up from grasses/shrubs). NDVI alone could not distinguish disturbance type because both showed a sharp rebound in green vegetation</w:t>
      </w:r>
      <w:hyperlink r:id="rId24">
        <w:r>
          <w:rPr>
            <w:rStyle w:val="Hyperlink"/>
          </w:rPr>
          <w:t xml:space="preserve">[2]</w:t>
        </w:r>
      </w:hyperlink>
      <w:r>
        <w:t xml:space="preserve">. The study underscores that early post-disturbance vegetation (often deciduous shrubs and herbs) can mimic the spectral/phenological signal of deciduous forests, leading to classification confusion.</w:t>
      </w:r>
    </w:p>
    <w:p>
      <w:pPr>
        <w:pStyle w:val="FirstParagraph"/>
      </w:pPr>
      <w:r>
        <w:rPr>
          <w:b/>
          <w:bCs/>
        </w:rPr>
        <w:t xml:space="preserve">MECHANISM:</w:t>
      </w:r>
      <w:r>
        <w:t xml:space="preserve"> </w:t>
      </w:r>
      <w:r>
        <w:t xml:space="preserve">After a disturbance (logging, fire, windthrow) in a conifer stand, the evergreen canopy is removed and</w:t>
      </w:r>
      <w:r>
        <w:t xml:space="preserve"> </w:t>
      </w:r>
      <w:r>
        <w:rPr>
          <w:b/>
          <w:bCs/>
        </w:rPr>
        <w:t xml:space="preserve">fast-growing grasses, herbs, and deciduous shrubs quickly colonize the site</w:t>
      </w:r>
      <w:r>
        <w:t xml:space="preserve">. These pioneer plants produce a strong summer greening signal (high NDVI and reflectance in the near-infrared) that drops off in winter – a phenology very similar to true broadleaf deciduous forests. In contrast, an intact conifer forest has a more muted seasonal signal (retaining some greenness year-round).</w:t>
      </w:r>
      <w:r>
        <w:t xml:space="preserve"> </w:t>
      </w:r>
      <w:r>
        <w:rPr>
          <w:b/>
          <w:bCs/>
        </w:rPr>
        <w:t xml:space="preserve">Thus, satellite classifiers relying on spectral signatures or NDVI seasonality may interpret the lush summer regrowth in a clear-cut as “deciduous” vegetation</w:t>
      </w:r>
      <w:r>
        <w:t xml:space="preserve">. Additionally, broadleaf shrubs and young deciduous trees often dominate early succession on conifer sites, further causing the spectral profile (e.g. high NIR reflectance, low winter canopy cover) to resemble a deciduous forest</w:t>
      </w:r>
      <w:hyperlink r:id="rId25">
        <w:r>
          <w:rPr>
            <w:rStyle w:val="Hyperlink"/>
          </w:rPr>
          <w:t xml:space="preserve">[3]</w:t>
        </w:r>
      </w:hyperlink>
      <w:hyperlink r:id="rId22">
        <w:r>
          <w:rPr>
            <w:rStyle w:val="Hyperlink"/>
          </w:rPr>
          <w:t xml:space="preserve">[1]</w:t>
        </w:r>
      </w:hyperlink>
      <w:r>
        <w:t xml:space="preserve">. This well-known spectral confusion means that a recently disturbed conifer stand can appear “deciduous-like” in imagery even though it is a transient condition.</w:t>
      </w:r>
    </w:p>
    <w:p>
      <w:pPr>
        <w:pStyle w:val="BodyText"/>
      </w:pPr>
      <w:r>
        <w:rPr>
          <w:b/>
          <w:bCs/>
        </w:rPr>
        <w:t xml:space="preserve">MITIGATION STRATEGIES: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Mask or flag recent disturbances:</w:t>
      </w:r>
      <w:r>
        <w:t xml:space="preserve"> </w:t>
      </w:r>
      <w:r>
        <w:t xml:space="preserve">Many studies recommend using ancillary disturbance data or time-series analysis to identify pixels that were recently logged or burned. These areas can be</w:t>
      </w:r>
      <w:r>
        <w:t xml:space="preserve"> </w:t>
      </w:r>
      <w:r>
        <w:rPr>
          <w:b/>
          <w:bCs/>
        </w:rPr>
        <w:t xml:space="preserve">excluded or marked as a separate “disturbed” class</w:t>
      </w:r>
      <w:r>
        <w:t xml:space="preserve"> </w:t>
      </w:r>
      <w:r>
        <w:t xml:space="preserve">rather than misclassified as stable forest</w:t>
      </w:r>
      <w:hyperlink r:id="rId22">
        <w:r>
          <w:rPr>
            <w:rStyle w:val="Hyperlink"/>
          </w:rPr>
          <w:t xml:space="preserve">[1]</w:t>
        </w:r>
      </w:hyperlink>
      <w:r>
        <w:t xml:space="preserve">. For example, one can apply a forest loss mask (e.g. from annual change maps) to filter out areas &lt;5–10 years since disturbance before labeling forest type.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Use multi-year compositing or phenology:</w:t>
      </w:r>
      <w:r>
        <w:t xml:space="preserve"> </w:t>
      </w:r>
      <w:r>
        <w:t xml:space="preserve">Instead of a single-date image, combining</w:t>
      </w:r>
      <w:r>
        <w:t xml:space="preserve"> </w:t>
      </w:r>
      <w:r>
        <w:rPr>
          <w:b/>
          <w:bCs/>
        </w:rPr>
        <w:t xml:space="preserve">leaf-on and leaf-off imagery or multi-year time series</w:t>
      </w:r>
      <w:r>
        <w:t xml:space="preserve"> </w:t>
      </w:r>
      <w:r>
        <w:t xml:space="preserve">helps distinguish true deciduous forests from ephemeral regrowth. A classifier that incorporates phenological indices (e.g. difference between summer and winter imagery) will detect that a</w:t>
      </w:r>
      <w:r>
        <w:t xml:space="preserve"> </w:t>
      </w:r>
      <w:r>
        <w:rPr>
          <w:i/>
          <w:iCs/>
        </w:rPr>
        <w:t xml:space="preserve">persistent</w:t>
      </w:r>
      <w:r>
        <w:t xml:space="preserve"> </w:t>
      </w:r>
      <w:r>
        <w:t xml:space="preserve">deciduous forest shows this pattern every year, whereas a recovering clear-cut’s signal may be more irregular. Dymond et al. (2002) demonstrated that including seasonal Tasseled Cap indices reduced confusion between harvest-regrowth and deciduous forest</w:t>
      </w:r>
      <w:hyperlink r:id="rId22">
        <w:r>
          <w:rPr>
            <w:rStyle w:val="Hyperlink"/>
          </w:rPr>
          <w:t xml:space="preserve">[1]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Ancillary data on forest age or structure:</w:t>
      </w:r>
      <w:r>
        <w:t xml:space="preserve"> </w:t>
      </w:r>
      <w:r>
        <w:t xml:space="preserve">Integrating data like stand age maps or LiDAR-derived structure can help. Young post-disturbance stands might be distinguished by lower height or fractional cover. If available, a</w:t>
      </w:r>
      <w:r>
        <w:t xml:space="preserve"> </w:t>
      </w:r>
      <w:r>
        <w:rPr>
          <w:b/>
          <w:bCs/>
        </w:rPr>
        <w:t xml:space="preserve">“transitional woodland” class</w:t>
      </w:r>
      <w:r>
        <w:t xml:space="preserve"> </w:t>
      </w:r>
      <w:r>
        <w:t xml:space="preserve">(as used in CORINE Land Cover) or an age threshold can flag regenerating areas that don’t yet match either mature conifer or mature broadleaf spectral profiles.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Disturbance-informed classification:</w:t>
      </w:r>
      <w:r>
        <w:t xml:space="preserve"> </w:t>
      </w:r>
      <w:r>
        <w:t xml:space="preserve">Some approaches perform an initial change detection to identify disturbed pixels, then treat those separately (e.g. applying a secondary classification to determine if the regrowth is grass, shrub, or young trees). By acknowledging disturbance first, the classifier can avoid forcing a disturbed pixel into a false mature-type class. In essence,</w:t>
      </w:r>
      <w:r>
        <w:t xml:space="preserve"> </w:t>
      </w:r>
      <w:r>
        <w:rPr>
          <w:i/>
          <w:iCs/>
        </w:rPr>
        <w:t xml:space="preserve">knowledge of recent disturbance history is used as a prior</w:t>
      </w:r>
      <w:r>
        <w:t xml:space="preserve"> </w:t>
      </w:r>
      <w:r>
        <w:t xml:space="preserve">to improve current land-cover labeling.</w:t>
      </w:r>
    </w:p>
    <w:p>
      <w:pPr>
        <w:pStyle w:val="BodyText"/>
      </w:pPr>
      <w:r>
        <w:rPr>
          <w:b/>
          <w:bCs/>
        </w:rPr>
        <w:t xml:space="preserve">AVAILABLE DISTURBANCE DATASETS:</w:t>
      </w:r>
      <w:r>
        <w:t xml:space="preserve"> </w:t>
      </w:r>
      <w:r>
        <w:t xml:space="preserve">(to aid in filtering out such cases)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European Forest Disturbance Atlas (EFDA)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Landsat-derived annual disturbance maps for Europe, 1985–2023</w:t>
      </w:r>
      <w:r>
        <w:t xml:space="preserve">. Provides 30 m resolution layers of forest disturbance year and type across 38 European countries.</w:t>
      </w:r>
      <w:r>
        <w:t xml:space="preserve"> </w:t>
      </w:r>
      <w:r>
        <w:rPr>
          <w:b/>
          <w:bCs/>
        </w:rPr>
        <w:t xml:space="preserve">URL:</w:t>
      </w:r>
      <w:r>
        <w:t xml:space="preserve"> </w:t>
      </w:r>
      <w:hyperlink r:id="rId26">
        <w:r>
          <w:rPr>
            <w:rStyle w:val="Hyperlink"/>
          </w:rPr>
          <w:t xml:space="preserve">Zenodo 10.5281/zenodo.13333034</w:t>
        </w:r>
      </w:hyperlink>
      <w:r>
        <w:t xml:space="preserve"> </w:t>
      </w:r>
      <w:r>
        <w:t xml:space="preserve">(Viana-Soto &amp; Senf 2024).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Global Forest Change (Hansen et al.)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Global yearly forest loss dataset at 30 m (2000–present)</w:t>
      </w:r>
      <w:r>
        <w:t xml:space="preserve">. Identifies tree cover loss year for each pixel, useful to mask recent clear-cuts.</w:t>
      </w:r>
      <w:r>
        <w:t xml:space="preserve"> </w:t>
      </w:r>
      <w:r>
        <w:rPr>
          <w:b/>
          <w:bCs/>
        </w:rPr>
        <w:t xml:space="preserve">URL:</w:t>
      </w:r>
      <w:r>
        <w:t xml:space="preserve"> </w:t>
      </w:r>
      <w:hyperlink r:id="rId27">
        <w:r>
          <w:rPr>
            <w:rStyle w:val="Hyperlink"/>
          </w:rPr>
          <w:t xml:space="preserve">https://earthenginepartners.appspot.com/science-2013-global-forest</w:t>
        </w:r>
      </w:hyperlink>
      <w:r>
        <w:t xml:space="preserve"> </w:t>
      </w:r>
      <w:r>
        <w:t xml:space="preserve">(updated on Global Forest Watch).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MODIS Burned Area Products</w:t>
      </w:r>
      <w:r>
        <w:t xml:space="preserve"> </w:t>
      </w:r>
      <w:r>
        <w:t xml:space="preserve">– e.g.</w:t>
      </w:r>
      <w:r>
        <w:t xml:space="preserve"> </w:t>
      </w:r>
      <w:r>
        <w:rPr>
          <w:i/>
          <w:iCs/>
        </w:rPr>
        <w:t xml:space="preserve">MCD64A1 Burned Area</w:t>
      </w:r>
      <w:r>
        <w:t xml:space="preserve"> </w:t>
      </w:r>
      <w:r>
        <w:t xml:space="preserve">(500 m, monthly) and</w:t>
      </w:r>
      <w:r>
        <w:t xml:space="preserve"> </w:t>
      </w:r>
      <w:r>
        <w:rPr>
          <w:b/>
          <w:bCs/>
        </w:rPr>
        <w:t xml:space="preserve">VIIRS VBP</w:t>
      </w:r>
      <w:r>
        <w:t xml:space="preserve"> </w:t>
      </w:r>
      <w:r>
        <w:t xml:space="preserve">(375 m) provide global fire disturbance maps. These can flag areas recently affected by wildfire.</w:t>
      </w:r>
      <w:r>
        <w:t xml:space="preserve"> </w:t>
      </w:r>
      <w:r>
        <w:rPr>
          <w:b/>
          <w:bCs/>
        </w:rPr>
        <w:t xml:space="preserve">URL:</w:t>
      </w:r>
      <w:r>
        <w:t xml:space="preserve"> </w:t>
      </w:r>
      <w:hyperlink r:id="rId28">
        <w:r>
          <w:rPr>
            <w:rStyle w:val="Hyperlink"/>
          </w:rPr>
          <w:t xml:space="preserve">MCD64A1 via NASA LP DAAC</w:t>
        </w:r>
      </w:hyperlink>
      <w:r>
        <w:t xml:space="preserve"> </w:t>
      </w:r>
      <w:r>
        <w:t xml:space="preserve">(covers 2000–present).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Copernicus</w:t>
      </w:r>
      <w:r>
        <w:t xml:space="preserve"> </w:t>
      </w:r>
      <w:r>
        <w:rPr>
          <w:b/>
          <w:bCs/>
        </w:rPr>
        <w:t xml:space="preserve">Land Monitoring</w:t>
      </w:r>
      <w:r>
        <w:t xml:space="preserve"> </w:t>
      </w:r>
      <w:r>
        <w:t xml:space="preserve">–</w:t>
      </w:r>
      <w:r>
        <w:t xml:space="preserve"> </w:t>
      </w:r>
      <w:r>
        <w:rPr>
          <w:i/>
          <w:iCs/>
        </w:rPr>
        <w:t xml:space="preserve">High-Resolution Forest Change Layers</w:t>
      </w:r>
      <w:r>
        <w:t xml:space="preserve">. For instance, the Copernicus</w:t>
      </w:r>
      <w:r>
        <w:t xml:space="preserve"> </w:t>
      </w:r>
      <w:r>
        <w:rPr>
          <w:b/>
          <w:bCs/>
        </w:rPr>
        <w:t xml:space="preserve">Forest Damage</w:t>
      </w:r>
      <w:r>
        <w:t xml:space="preserve"> </w:t>
      </w:r>
      <w:r>
        <w:t xml:space="preserve">product and national forest inventories offer maps of storm damage or bark-beetle attacks in Europe</w:t>
      </w:r>
      <w:hyperlink r:id="rId29">
        <w:r>
          <w:rPr>
            <w:rStyle w:val="Hyperlink"/>
          </w:rPr>
          <w:t xml:space="preserve">[4]</w:t>
        </w:r>
      </w:hyperlink>
      <w:hyperlink r:id="rId30">
        <w:r>
          <w:rPr>
            <w:rStyle w:val="Hyperlink"/>
          </w:rPr>
          <w:t xml:space="preserve">[5]</w:t>
        </w:r>
      </w:hyperlink>
      <w:r>
        <w:t xml:space="preserve">. These datasets, combined with the above, can help pre-identify disturbed areas so that a forest-type classifier can either exclude them or handle them separately, thereby reducing the spectral confusion.</w:t>
      </w:r>
    </w:p>
    <w:bookmarkEnd w:id="31"/>
    <w:p>
      <w:r>
        <w:pict>
          <v:rect style="width:0;height:1.5pt" o:hralign="center" o:hrstd="t" o:hr="t"/>
        </w:pict>
      </w:r>
    </w:p>
    <w:bookmarkStart w:id="36" w:name="citations"/>
    <w:p>
      <w:pPr>
        <w:pStyle w:val="FirstParagraph"/>
      </w:pPr>
      <w:hyperlink r:id="rId22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 comparison of raw spectral and cBGW classification of &lt; 10-year-old... | Download Scientific Diagram</w:t>
      </w:r>
    </w:p>
    <w:p>
      <w:pPr>
        <w:pStyle w:val="BodyText"/>
      </w:pPr>
      <w:hyperlink r:id="rId32">
        <w:r>
          <w:rPr>
            <w:rStyle w:val="Hyperlink"/>
          </w:rPr>
          <w:t xml:space="preserve">https://www.researchgate.net/figure/A-comparison-of-raw-spectral-and-cBGW-classification-of-10-year-old-harvested-stands_fig9_222397391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Mapping wildfire and clearcut harvest disturbances in boreal forests with Landsat time series data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https://www.fs.usda.gov/rm/pubs_other/rmrs_2011_schroeder_t001.pdf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[3]</w:t>
        </w:r>
      </w:hyperlink>
      <w:r>
        <w:t xml:space="preserve"> </w:t>
      </w:r>
      <w:r>
        <w:t xml:space="preserve">Improved Spatiotemporal Information Fusion Approach Based on Bayesian Decision Theory for Land Cover Classification</w:t>
      </w:r>
    </w:p>
    <w:p>
      <w:pPr>
        <w:pStyle w:val="BodyText"/>
      </w:pPr>
      <w:hyperlink r:id="rId34">
        <w:r>
          <w:rPr>
            <w:rStyle w:val="Hyperlink"/>
          </w:rPr>
          <w:t xml:space="preserve">https://www.mdpi.com/2072-4292/14/23/6003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[4]</w:t>
        </w:r>
      </w:hyperlink>
      <w:r>
        <w:t xml:space="preserve"> </w:t>
      </w:r>
      <w:hyperlink r:id="rId30">
        <w:r>
          <w:rPr>
            <w:rStyle w:val="Hyperlink"/>
          </w:rPr>
          <w:t xml:space="preserve">[5]</w:t>
        </w:r>
      </w:hyperlink>
      <w:r>
        <w:t xml:space="preserve"> </w:t>
      </w:r>
      <w:r>
        <w:t xml:space="preserve">ESSD - The European Forest Disturbance Atlas: a forest disturbance monitoring system using the Landsat archive</w:t>
      </w:r>
    </w:p>
    <w:p>
      <w:pPr>
        <w:pStyle w:val="BodyText"/>
      </w:pPr>
      <w:hyperlink r:id="rId35">
        <w:r>
          <w:rPr>
            <w:rStyle w:val="Hyperlink"/>
          </w:rPr>
          <w:t xml:space="preserve">https://essd.copernicus.org/articles/17/2373/2025/</w:t>
        </w:r>
      </w:hyperlink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16/S0034-4257(01)00324-8" TargetMode="External" /><Relationship Type="http://schemas.openxmlformats.org/officeDocument/2006/relationships/hyperlink" Id="rId23" Target="https://doi.org/10.1016/j.rse.2011.02.013" TargetMode="External" /><Relationship Type="http://schemas.openxmlformats.org/officeDocument/2006/relationships/hyperlink" Id="rId26" Target="https://doi.org/10.5281/zenodo.13333034" TargetMode="External" /><Relationship Type="http://schemas.openxmlformats.org/officeDocument/2006/relationships/hyperlink" Id="rId27" Target="https://earthenginepartners.appspot.com/science-2013-global-forest" TargetMode="External" /><Relationship Type="http://schemas.openxmlformats.org/officeDocument/2006/relationships/hyperlink" Id="rId35" Target="https://essd.copernicus.org/articles/17/2373/2025/" TargetMode="External" /><Relationship Type="http://schemas.openxmlformats.org/officeDocument/2006/relationships/hyperlink" Id="rId30" Target="https://essd.copernicus.org/articles/17/2373/2025/#:~:text=disturbance%20occurrence%2C%20severity%2C%20and%20agent%2C,over%20time%2C%20with%20commission%20errors" TargetMode="External" /><Relationship Type="http://schemas.openxmlformats.org/officeDocument/2006/relationships/hyperlink" Id="rId29" Target="https://essd.copernicus.org/articles/17/2373/2025/#:~:text=for%20the%20disturbed%20class%20of,Soto%20and%20Senf%2C%202024" TargetMode="External" /><Relationship Type="http://schemas.openxmlformats.org/officeDocument/2006/relationships/hyperlink" Id="rId28" Target="https://lpdaac.usgs.gov/products/mcd64a1v061/" TargetMode="External" /><Relationship Type="http://schemas.openxmlformats.org/officeDocument/2006/relationships/hyperlink" Id="rId33" Target="https://www.fs.usda.gov/rm/pubs_other/rmrs_2011_schroeder_t001.pdf" TargetMode="External" /><Relationship Type="http://schemas.openxmlformats.org/officeDocument/2006/relationships/hyperlink" Id="rId24" Target="https://www.fs.usda.gov/rm/pubs_other/rmrs_2011_schroeder_t001.pdf#:~:text=test%20also%20showed%20that%20fire,economic%20policy%20to%20harvesting%20rates" TargetMode="External" /><Relationship Type="http://schemas.openxmlformats.org/officeDocument/2006/relationships/hyperlink" Id="rId34" Target="https://www.mdpi.com/2072-4292/14/23/6003" TargetMode="External" /><Relationship Type="http://schemas.openxmlformats.org/officeDocument/2006/relationships/hyperlink" Id="rId25" Target="https://www.mdpi.com/2072-4292/14/23/6003#:~:text=Overall%2C%20seven%20sample%20points%20were,and%20urban%20and%20construction%20land" TargetMode="External" /><Relationship Type="http://schemas.openxmlformats.org/officeDocument/2006/relationships/hyperlink" Id="rId32" Target="https://www.researchgate.net/figure/A-comparison-of-raw-spectral-and-cBGW-classification-of-10-year-old-harvested-stands_fig9_222397391" TargetMode="External" /><Relationship Type="http://schemas.openxmlformats.org/officeDocument/2006/relationships/hyperlink" Id="rId22" Target="https://www.researchgate.net/figure/A-comparison-of-raw-spectral-and-cBGW-classification-of-10-year-old-harvested-stands_fig9_222397391#:~:text=,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16/S0034-4257(01)00324-8" TargetMode="External" /><Relationship Type="http://schemas.openxmlformats.org/officeDocument/2006/relationships/hyperlink" Id="rId23" Target="https://doi.org/10.1016/j.rse.2011.02.013" TargetMode="External" /><Relationship Type="http://schemas.openxmlformats.org/officeDocument/2006/relationships/hyperlink" Id="rId26" Target="https://doi.org/10.5281/zenodo.13333034" TargetMode="External" /><Relationship Type="http://schemas.openxmlformats.org/officeDocument/2006/relationships/hyperlink" Id="rId27" Target="https://earthenginepartners.appspot.com/science-2013-global-forest" TargetMode="External" /><Relationship Type="http://schemas.openxmlformats.org/officeDocument/2006/relationships/hyperlink" Id="rId35" Target="https://essd.copernicus.org/articles/17/2373/2025/" TargetMode="External" /><Relationship Type="http://schemas.openxmlformats.org/officeDocument/2006/relationships/hyperlink" Id="rId30" Target="https://essd.copernicus.org/articles/17/2373/2025/#:~:text=disturbance%20occurrence%2C%20severity%2C%20and%20agent%2C,over%20time%2C%20with%20commission%20errors" TargetMode="External" /><Relationship Type="http://schemas.openxmlformats.org/officeDocument/2006/relationships/hyperlink" Id="rId29" Target="https://essd.copernicus.org/articles/17/2373/2025/#:~:text=for%20the%20disturbed%20class%20of,Soto%20and%20Senf%2C%202024" TargetMode="External" /><Relationship Type="http://schemas.openxmlformats.org/officeDocument/2006/relationships/hyperlink" Id="rId28" Target="https://lpdaac.usgs.gov/products/mcd64a1v061/" TargetMode="External" /><Relationship Type="http://schemas.openxmlformats.org/officeDocument/2006/relationships/hyperlink" Id="rId33" Target="https://www.fs.usda.gov/rm/pubs_other/rmrs_2011_schroeder_t001.pdf" TargetMode="External" /><Relationship Type="http://schemas.openxmlformats.org/officeDocument/2006/relationships/hyperlink" Id="rId24" Target="https://www.fs.usda.gov/rm/pubs_other/rmrs_2011_schroeder_t001.pdf#:~:text=test%20also%20showed%20that%20fire,economic%20policy%20to%20harvesting%20rates" TargetMode="External" /><Relationship Type="http://schemas.openxmlformats.org/officeDocument/2006/relationships/hyperlink" Id="rId34" Target="https://www.mdpi.com/2072-4292/14/23/6003" TargetMode="External" /><Relationship Type="http://schemas.openxmlformats.org/officeDocument/2006/relationships/hyperlink" Id="rId25" Target="https://www.mdpi.com/2072-4292/14/23/6003#:~:text=Overall%2C%20seven%20sample%20points%20were,and%20urban%20and%20construction%20land" TargetMode="External" /><Relationship Type="http://schemas.openxmlformats.org/officeDocument/2006/relationships/hyperlink" Id="rId32" Target="https://www.researchgate.net/figure/A-comparison-of-raw-spectral-and-cBGW-classification-of-10-year-old-harvested-stands_fig9_222397391" TargetMode="External" /><Relationship Type="http://schemas.openxmlformats.org/officeDocument/2006/relationships/hyperlink" Id="rId22" Target="https://www.researchgate.net/figure/A-comparison-of-raw-spectral-and-cBGW-classification-of-10-year-old-harvested-stands_fig9_222397391#:~:text=,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2025-10-10T15:33:08Z</dcterms:created>
  <dcterms:modified xsi:type="dcterms:W3CDTF">2025-10-10T15:33:08Z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