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0D2C9B" w14:textId="727E96AE" w:rsidR="00E97CF5" w:rsidRPr="001056F9" w:rsidRDefault="001056F9" w:rsidP="001056F9">
      <w:pPr>
        <w:jc w:val="both"/>
        <w:rPr>
          <w:rFonts w:ascii="Century Gothic" w:hAnsi="Century Gothic"/>
          <w:b/>
          <w:bCs/>
          <w:sz w:val="28"/>
          <w:szCs w:val="28"/>
        </w:rPr>
      </w:pPr>
      <w:r w:rsidRPr="001056F9">
        <w:rPr>
          <w:rFonts w:ascii="Century Gothic" w:hAnsi="Century Gothic"/>
          <w:b/>
          <w:bCs/>
          <w:sz w:val="28"/>
          <w:szCs w:val="28"/>
        </w:rPr>
        <w:t xml:space="preserve">TANZANIA AGRICULTURAL EXPORT </w:t>
      </w:r>
      <w:r w:rsidR="00FA4DD3">
        <w:rPr>
          <w:rFonts w:ascii="Century Gothic" w:hAnsi="Century Gothic"/>
          <w:b/>
          <w:bCs/>
          <w:sz w:val="28"/>
          <w:szCs w:val="28"/>
        </w:rPr>
        <w:t>Perform</w:t>
      </w:r>
      <w:r>
        <w:rPr>
          <w:rFonts w:ascii="Century Gothic" w:hAnsi="Century Gothic"/>
          <w:b/>
          <w:bCs/>
          <w:sz w:val="28"/>
          <w:szCs w:val="28"/>
        </w:rPr>
        <w:t xml:space="preserve"> </w:t>
      </w:r>
      <w:r w:rsidRPr="001056F9">
        <w:rPr>
          <w:rFonts w:ascii="Century Gothic" w:hAnsi="Century Gothic"/>
          <w:b/>
          <w:bCs/>
          <w:sz w:val="28"/>
          <w:szCs w:val="28"/>
        </w:rPr>
        <w:t>1998/99-2022/23</w:t>
      </w:r>
    </w:p>
    <w:p w14:paraId="0D9C59FD" w14:textId="77777777" w:rsidR="00635948" w:rsidRPr="00B52604" w:rsidRDefault="00635948" w:rsidP="00635948">
      <w:pPr>
        <w:jc w:val="both"/>
        <w:rPr>
          <w:rFonts w:ascii="Century Gothic" w:hAnsi="Century Gothic"/>
          <w:b/>
          <w:bCs/>
        </w:rPr>
      </w:pPr>
      <w:r w:rsidRPr="00B52604">
        <w:rPr>
          <w:rFonts w:ascii="Century Gothic" w:hAnsi="Century Gothic"/>
          <w:b/>
          <w:bCs/>
        </w:rPr>
        <w:t>Overview of Agriculture Export Performance</w:t>
      </w:r>
    </w:p>
    <w:p w14:paraId="4234F742" w14:textId="77777777" w:rsidR="00635948" w:rsidRPr="00B52604" w:rsidRDefault="00635948" w:rsidP="00635948">
      <w:pPr>
        <w:spacing w:line="360" w:lineRule="auto"/>
        <w:jc w:val="both"/>
        <w:rPr>
          <w:rFonts w:ascii="Century Gothic" w:hAnsi="Century Gothic"/>
        </w:rPr>
      </w:pPr>
      <w:r w:rsidRPr="00B52604">
        <w:rPr>
          <w:rFonts w:ascii="Century Gothic" w:hAnsi="Century Gothic"/>
        </w:rPr>
        <w:t>Exports are crucial in the process of growth and expansion of the exports is an important part of economic growth process. Agriculture in Tanzania has been characterized by sustained growth over the years. But there has been slow growth rate in some of the crops such as sisal exports over the decade as it is shown in the graph</w:t>
      </w:r>
    </w:p>
    <w:p w14:paraId="04FE693C" w14:textId="77777777" w:rsidR="00635948" w:rsidRPr="00B52604" w:rsidRDefault="00635948" w:rsidP="00635948">
      <w:pPr>
        <w:spacing w:line="360" w:lineRule="auto"/>
        <w:jc w:val="both"/>
        <w:rPr>
          <w:rFonts w:ascii="Century Gothic" w:hAnsi="Century Gothic"/>
        </w:rPr>
      </w:pPr>
      <w:r w:rsidRPr="00B52604">
        <w:rPr>
          <w:rFonts w:ascii="Century Gothic" w:hAnsi="Century Gothic"/>
        </w:rPr>
        <w:t>This report proposed to examine factors that influence agriculture exports performance from 1998 to 2023. Secondary data was collected from Bank of Tanzania.</w:t>
      </w:r>
    </w:p>
    <w:p w14:paraId="2F17D680" w14:textId="77777777" w:rsidR="00635948" w:rsidRPr="00B52604" w:rsidRDefault="00635948" w:rsidP="00635948">
      <w:pPr>
        <w:spacing w:line="360" w:lineRule="auto"/>
        <w:jc w:val="both"/>
        <w:rPr>
          <w:rFonts w:ascii="Century Gothic" w:hAnsi="Century Gothic"/>
        </w:rPr>
      </w:pPr>
      <w:r w:rsidRPr="00B52604">
        <w:rPr>
          <w:rFonts w:ascii="Century Gothic" w:hAnsi="Century Gothic"/>
        </w:rPr>
        <w:t xml:space="preserve">The country implemented a number of reforms in order to reorient country’s economic policies towards an export-oriented growth strategy. These included establishments of the Export Processing Zones, joining Multilateral and Regional Trading blocs including the Southern African Development Community (SADC), the East African Community (EAC), the African Growth and Opportunity Act (AGOA), the World Trade Organization (WTO) and the Economic Partnership Agreements (EPA). </w:t>
      </w:r>
    </w:p>
    <w:p w14:paraId="408CACB7" w14:textId="77777777" w:rsidR="00635948" w:rsidRPr="00B52604" w:rsidRDefault="00635948" w:rsidP="00635948">
      <w:pPr>
        <w:spacing w:line="360" w:lineRule="auto"/>
        <w:jc w:val="both"/>
        <w:rPr>
          <w:rFonts w:ascii="Century Gothic" w:hAnsi="Century Gothic"/>
        </w:rPr>
      </w:pPr>
      <w:r w:rsidRPr="00B52604">
        <w:rPr>
          <w:rFonts w:ascii="Century Gothic" w:hAnsi="Century Gothic"/>
        </w:rPr>
        <w:t xml:space="preserve">This was just to increase access to external market and promote export with the anticipation that investors in Tanzania will enjoy expanded market as well as preferential treatment for their products. The role of economic reforms and policies adopted in promoting Tanzania’s exports can be confirmed by the fact that total exports of some agriculture products in Tanzania have been increasing. This is as per the graph above which shows the trend of Tanzanian total export 1998-2023. </w:t>
      </w:r>
    </w:p>
    <w:p w14:paraId="6FCAB581" w14:textId="77777777" w:rsidR="00635948" w:rsidRPr="00B52604" w:rsidRDefault="00635948" w:rsidP="00635948">
      <w:pPr>
        <w:spacing w:line="360" w:lineRule="auto"/>
        <w:jc w:val="both"/>
        <w:rPr>
          <w:rFonts w:ascii="Century Gothic" w:hAnsi="Century Gothic"/>
        </w:rPr>
      </w:pPr>
      <w:r w:rsidRPr="00B52604">
        <w:rPr>
          <w:rFonts w:ascii="Century Gothic" w:hAnsi="Century Gothic"/>
        </w:rPr>
        <w:t>The model results showed that the real exchange rate, Agricultural GDP and foreign income had significantly influenced the Agricultural exports performance in the long run as it shows in cotton and coffee graph.  Cashew nuts, coffee, tea, cloves have 20 percent share in Tanzania’s total exports as of 2020.</w:t>
      </w:r>
    </w:p>
    <w:p w14:paraId="4EA20B93" w14:textId="77777777" w:rsidR="00635948" w:rsidRPr="00B52604" w:rsidRDefault="00635948" w:rsidP="00635948">
      <w:pPr>
        <w:spacing w:line="360" w:lineRule="auto"/>
        <w:jc w:val="both"/>
        <w:rPr>
          <w:rFonts w:ascii="Century Gothic" w:hAnsi="Century Gothic"/>
        </w:rPr>
      </w:pPr>
      <w:r w:rsidRPr="00B52604">
        <w:rPr>
          <w:rFonts w:ascii="Century Gothic" w:hAnsi="Century Gothic"/>
        </w:rPr>
        <w:t>In spite of fluctuations, the value has overall increased in the last years. This was mainly due to Tanzania’s key role in the cross-border trade of staple foods in East Africa, supplying neighboring nations, like Uganda and Kenya.</w:t>
      </w:r>
    </w:p>
    <w:p w14:paraId="0AFC56D8" w14:textId="020D6AE0" w:rsidR="00635948" w:rsidRPr="00635948" w:rsidRDefault="00635948" w:rsidP="001056F9">
      <w:pPr>
        <w:jc w:val="both"/>
        <w:rPr>
          <w:rFonts w:ascii="Century Gothic" w:hAnsi="Century Gothic"/>
          <w:b/>
          <w:bCs/>
        </w:rPr>
      </w:pPr>
      <w:r w:rsidRPr="00635948">
        <w:rPr>
          <w:rFonts w:ascii="Century Gothic" w:hAnsi="Century Gothic"/>
          <w:b/>
          <w:bCs/>
        </w:rPr>
        <w:t xml:space="preserve">Trends </w:t>
      </w:r>
    </w:p>
    <w:p w14:paraId="2326E5AD" w14:textId="79C162E8" w:rsidR="005E0B4A" w:rsidRPr="001056F9" w:rsidRDefault="00856E2F" w:rsidP="001056F9">
      <w:pPr>
        <w:jc w:val="both"/>
        <w:rPr>
          <w:rFonts w:ascii="Century Gothic" w:hAnsi="Century Gothic"/>
          <w:b/>
          <w:bCs/>
        </w:rPr>
      </w:pPr>
      <w:r w:rsidRPr="001056F9">
        <w:rPr>
          <w:rFonts w:ascii="Century Gothic" w:hAnsi="Century Gothic"/>
        </w:rPr>
        <w:t>T</w:t>
      </w:r>
      <w:r w:rsidR="007E1C68" w:rsidRPr="001056F9">
        <w:rPr>
          <w:rFonts w:ascii="Century Gothic" w:hAnsi="Century Gothic"/>
        </w:rPr>
        <w:t xml:space="preserve">he dataset includes annual agricultural export values for various commodities from 1998/99 to 2022/23. The main commodities analyzed are coffee, cotton, sisal, tea, </w:t>
      </w:r>
      <w:r w:rsidR="007E1C68" w:rsidRPr="001056F9">
        <w:rPr>
          <w:rFonts w:ascii="Century Gothic" w:hAnsi="Century Gothic"/>
        </w:rPr>
        <w:lastRenderedPageBreak/>
        <w:t xml:space="preserve">tobacco, </w:t>
      </w:r>
      <w:proofErr w:type="spellStart"/>
      <w:r w:rsidR="007E1C68" w:rsidRPr="001056F9">
        <w:rPr>
          <w:rFonts w:ascii="Century Gothic" w:hAnsi="Century Gothic"/>
        </w:rPr>
        <w:t>cashewnuts</w:t>
      </w:r>
      <w:proofErr w:type="spellEnd"/>
      <w:r w:rsidR="007E1C68" w:rsidRPr="001056F9">
        <w:rPr>
          <w:rFonts w:ascii="Century Gothic" w:hAnsi="Century Gothic"/>
        </w:rPr>
        <w:t>, and cloves. Each commodity's value, volume, and unit price are included</w:t>
      </w:r>
    </w:p>
    <w:p w14:paraId="63EFA7CE" w14:textId="6CEB8A56" w:rsidR="005E0B4A" w:rsidRPr="001056F9" w:rsidRDefault="005E0B4A" w:rsidP="001056F9">
      <w:pPr>
        <w:jc w:val="both"/>
        <w:rPr>
          <w:rFonts w:ascii="Century Gothic" w:hAnsi="Century Gothic"/>
          <w:b/>
          <w:bCs/>
        </w:rPr>
      </w:pPr>
      <w:r w:rsidRPr="001056F9">
        <w:rPr>
          <w:rFonts w:ascii="Century Gothic" w:hAnsi="Century Gothic"/>
          <w:noProof/>
        </w:rPr>
        <w:drawing>
          <wp:inline distT="0" distB="0" distL="0" distR="0" wp14:anchorId="06948EE8" wp14:editId="5648B043">
            <wp:extent cx="5731510" cy="3258820"/>
            <wp:effectExtent l="0" t="0" r="2540" b="0"/>
            <wp:docPr id="1852826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58820"/>
                    </a:xfrm>
                    <a:prstGeom prst="rect">
                      <a:avLst/>
                    </a:prstGeom>
                    <a:noFill/>
                    <a:ln>
                      <a:noFill/>
                    </a:ln>
                  </pic:spPr>
                </pic:pic>
              </a:graphicData>
            </a:graphic>
          </wp:inline>
        </w:drawing>
      </w:r>
    </w:p>
    <w:p w14:paraId="005467ED" w14:textId="6C20AE38" w:rsidR="00260F4A" w:rsidRPr="001056F9" w:rsidRDefault="005E0B4A" w:rsidP="001056F9">
      <w:pPr>
        <w:jc w:val="both"/>
        <w:rPr>
          <w:rFonts w:ascii="Century Gothic" w:hAnsi="Century Gothic"/>
        </w:rPr>
      </w:pPr>
      <w:r w:rsidRPr="001056F9">
        <w:rPr>
          <w:rFonts w:ascii="Century Gothic" w:hAnsi="Century Gothic"/>
        </w:rPr>
        <w:t xml:space="preserve">Data </w:t>
      </w:r>
      <w:r w:rsidR="00260F4A" w:rsidRPr="001056F9">
        <w:rPr>
          <w:rFonts w:ascii="Century Gothic" w:hAnsi="Century Gothic"/>
        </w:rPr>
        <w:t xml:space="preserve">Source; </w:t>
      </w:r>
      <w:hyperlink r:id="rId6" w:history="1">
        <w:r w:rsidR="00260F4A" w:rsidRPr="001056F9">
          <w:rPr>
            <w:rStyle w:val="Hyperlink"/>
            <w:rFonts w:ascii="Century Gothic" w:hAnsi="Century Gothic"/>
          </w:rPr>
          <w:t>BOT</w:t>
        </w:r>
      </w:hyperlink>
    </w:p>
    <w:p w14:paraId="35D72751" w14:textId="325E9B36" w:rsidR="00260F4A" w:rsidRPr="001056F9" w:rsidRDefault="00260F4A" w:rsidP="001056F9">
      <w:pPr>
        <w:jc w:val="both"/>
        <w:rPr>
          <w:rFonts w:ascii="Century Gothic" w:hAnsi="Century Gothic"/>
        </w:rPr>
      </w:pPr>
      <w:r w:rsidRPr="001056F9">
        <w:rPr>
          <w:rFonts w:ascii="Century Gothic" w:hAnsi="Century Gothic"/>
        </w:rPr>
        <w:t xml:space="preserve">The </w:t>
      </w:r>
      <w:r w:rsidR="00856E2F" w:rsidRPr="001056F9">
        <w:rPr>
          <w:rFonts w:ascii="Century Gothic" w:hAnsi="Century Gothic"/>
        </w:rPr>
        <w:t>graph</w:t>
      </w:r>
      <w:r w:rsidRPr="001056F9">
        <w:rPr>
          <w:rFonts w:ascii="Century Gothic" w:hAnsi="Century Gothic"/>
        </w:rPr>
        <w:t xml:space="preserve"> shows the trends in agricultural exports over the years for various products, including coffee, cotton, sisal, tea, tobacco, cashouts, and cloves. Coffee exports show a significant increase in the recent years, particularly peaking around 2021/22. Cotton exports fluctuated over the years, with noticeable peaks but not a consistent upward trend. Sisal exports have remained relatively low compared to other products but show some variations. Tea exports display a steady increase over the years, especially notable in the most recent years. Tobacco exports have experienced fluctuations, similar to cotton, without a clear upward or downward trend. Cashew</w:t>
      </w:r>
      <w:r w:rsidR="00B52604">
        <w:rPr>
          <w:rFonts w:ascii="Century Gothic" w:hAnsi="Century Gothic"/>
        </w:rPr>
        <w:t xml:space="preserve"> </w:t>
      </w:r>
      <w:r w:rsidRPr="001056F9">
        <w:rPr>
          <w:rFonts w:ascii="Century Gothic" w:hAnsi="Century Gothic"/>
        </w:rPr>
        <w:t>nut exports show significant variability but have seen some growth recently. Clove exports are relatively low but have had occasional spikes, particularly in the earlier years.</w:t>
      </w:r>
    </w:p>
    <w:p w14:paraId="1A0C196F" w14:textId="52311B39" w:rsidR="00260F4A" w:rsidRPr="001056F9" w:rsidRDefault="00260F4A" w:rsidP="001056F9">
      <w:pPr>
        <w:jc w:val="both"/>
        <w:rPr>
          <w:rFonts w:ascii="Century Gothic" w:hAnsi="Century Gothic"/>
        </w:rPr>
      </w:pPr>
      <w:r w:rsidRPr="001056F9">
        <w:rPr>
          <w:rFonts w:ascii="Arial" w:hAnsi="Arial" w:cs="Arial"/>
        </w:rPr>
        <w:t>​</w:t>
      </w:r>
    </w:p>
    <w:p w14:paraId="6056F5A5" w14:textId="588061E6" w:rsidR="00260F4A" w:rsidRPr="001056F9" w:rsidRDefault="00E2372D" w:rsidP="001056F9">
      <w:pPr>
        <w:jc w:val="both"/>
        <w:rPr>
          <w:rFonts w:ascii="Century Gothic" w:hAnsi="Century Gothic"/>
        </w:rPr>
      </w:pPr>
      <w:r w:rsidRPr="001056F9">
        <w:rPr>
          <w:rFonts w:ascii="Century Gothic" w:hAnsi="Century Gothic"/>
          <w:noProof/>
        </w:rPr>
        <w:lastRenderedPageBreak/>
        <w:drawing>
          <wp:inline distT="0" distB="0" distL="0" distR="0" wp14:anchorId="5038A000" wp14:editId="56E24F7D">
            <wp:extent cx="5731510" cy="3121660"/>
            <wp:effectExtent l="0" t="0" r="2540" b="2540"/>
            <wp:docPr id="1780675480" name="Chart 1">
              <a:extLst xmlns:a="http://schemas.openxmlformats.org/drawingml/2006/main">
                <a:ext uri="{FF2B5EF4-FFF2-40B4-BE49-F238E27FC236}">
                  <a16:creationId xmlns:a16="http://schemas.microsoft.com/office/drawing/2014/main" id="{65ADEABA-FF4E-2AA0-5F87-9E4234777E6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D0D1904" w14:textId="3BB1EF99" w:rsidR="00E2372D" w:rsidRPr="001056F9" w:rsidRDefault="00E2372D" w:rsidP="001056F9">
      <w:pPr>
        <w:jc w:val="both"/>
        <w:rPr>
          <w:rFonts w:ascii="Century Gothic" w:hAnsi="Century Gothic"/>
        </w:rPr>
      </w:pPr>
      <w:r w:rsidRPr="001056F9">
        <w:rPr>
          <w:rFonts w:ascii="Century Gothic" w:hAnsi="Century Gothic"/>
        </w:rPr>
        <w:t xml:space="preserve">Data Source; </w:t>
      </w:r>
      <w:hyperlink r:id="rId8" w:history="1">
        <w:r w:rsidRPr="001056F9">
          <w:rPr>
            <w:rStyle w:val="Hyperlink"/>
            <w:rFonts w:ascii="Century Gothic" w:hAnsi="Century Gothic"/>
          </w:rPr>
          <w:t>BOT</w:t>
        </w:r>
      </w:hyperlink>
    </w:p>
    <w:p w14:paraId="7499BA05" w14:textId="558E3ED3" w:rsidR="00244A91" w:rsidRPr="001056F9" w:rsidRDefault="00244A91" w:rsidP="001056F9">
      <w:pPr>
        <w:jc w:val="both"/>
        <w:rPr>
          <w:rFonts w:ascii="Century Gothic" w:hAnsi="Century Gothic"/>
        </w:rPr>
      </w:pPr>
      <w:r w:rsidRPr="001056F9">
        <w:rPr>
          <w:rFonts w:ascii="Century Gothic" w:hAnsi="Century Gothic"/>
        </w:rPr>
        <w:t>The chart reveals trends in pricing over time:</w:t>
      </w:r>
    </w:p>
    <w:p w14:paraId="488240A3" w14:textId="77777777" w:rsidR="00244A91" w:rsidRPr="001056F9" w:rsidRDefault="00244A91" w:rsidP="001056F9">
      <w:pPr>
        <w:numPr>
          <w:ilvl w:val="0"/>
          <w:numId w:val="2"/>
        </w:numPr>
        <w:jc w:val="both"/>
        <w:rPr>
          <w:rFonts w:ascii="Century Gothic" w:hAnsi="Century Gothic"/>
        </w:rPr>
      </w:pPr>
      <w:r w:rsidRPr="001056F9">
        <w:rPr>
          <w:rFonts w:ascii="Century Gothic" w:hAnsi="Century Gothic"/>
          <w:b/>
          <w:bCs/>
        </w:rPr>
        <w:t>Coffee</w:t>
      </w:r>
      <w:r w:rsidRPr="001056F9">
        <w:rPr>
          <w:rFonts w:ascii="Century Gothic" w:hAnsi="Century Gothic"/>
        </w:rPr>
        <w:t>: May exhibit peaks indicating significant increases in unit prices, particularly around certain years like 2011/12, possibly due to supply and demand dynamics.</w:t>
      </w:r>
    </w:p>
    <w:p w14:paraId="47F67991" w14:textId="77777777" w:rsidR="00244A91" w:rsidRPr="001056F9" w:rsidRDefault="00244A91" w:rsidP="001056F9">
      <w:pPr>
        <w:numPr>
          <w:ilvl w:val="0"/>
          <w:numId w:val="2"/>
        </w:numPr>
        <w:jc w:val="both"/>
        <w:rPr>
          <w:rFonts w:ascii="Century Gothic" w:hAnsi="Century Gothic"/>
        </w:rPr>
      </w:pPr>
      <w:r w:rsidRPr="001056F9">
        <w:rPr>
          <w:rFonts w:ascii="Century Gothic" w:hAnsi="Century Gothic"/>
          <w:b/>
          <w:bCs/>
        </w:rPr>
        <w:t>Cotton</w:t>
      </w:r>
      <w:r w:rsidRPr="001056F9">
        <w:rPr>
          <w:rFonts w:ascii="Century Gothic" w:hAnsi="Century Gothic"/>
        </w:rPr>
        <w:t>: Similar variability might be observed, reflecting fluctuating market conditions.</w:t>
      </w:r>
    </w:p>
    <w:p w14:paraId="10EA5EC5" w14:textId="32C9D7FA" w:rsidR="00244A91" w:rsidRPr="00CA4AFE" w:rsidRDefault="00244A91" w:rsidP="001056F9">
      <w:pPr>
        <w:numPr>
          <w:ilvl w:val="0"/>
          <w:numId w:val="2"/>
        </w:numPr>
        <w:jc w:val="both"/>
        <w:rPr>
          <w:rFonts w:ascii="Century Gothic" w:hAnsi="Century Gothic"/>
        </w:rPr>
      </w:pPr>
      <w:r w:rsidRPr="001056F9">
        <w:rPr>
          <w:rFonts w:ascii="Century Gothic" w:hAnsi="Century Gothic"/>
          <w:b/>
          <w:bCs/>
        </w:rPr>
        <w:t>Sisal and Tea</w:t>
      </w:r>
      <w:r w:rsidRPr="001056F9">
        <w:rPr>
          <w:rFonts w:ascii="Century Gothic" w:hAnsi="Century Gothic"/>
        </w:rPr>
        <w:t>: Their unit prices might show steadier trends compared to the other commodities, indicating more consistent pricing.</w:t>
      </w:r>
    </w:p>
    <w:p w14:paraId="17F40AC8" w14:textId="77777777" w:rsidR="00B86931" w:rsidRDefault="00B86931" w:rsidP="00CA4AFE">
      <w:pPr>
        <w:jc w:val="both"/>
        <w:rPr>
          <w:rFonts w:ascii="Century Gothic" w:hAnsi="Century Gothic"/>
          <w:b/>
          <w:bCs/>
        </w:rPr>
      </w:pPr>
    </w:p>
    <w:p w14:paraId="41852417" w14:textId="77777777" w:rsidR="00B86931" w:rsidRDefault="00B86931" w:rsidP="00CA4AFE">
      <w:pPr>
        <w:jc w:val="both"/>
        <w:rPr>
          <w:rFonts w:ascii="Century Gothic" w:hAnsi="Century Gothic"/>
          <w:b/>
          <w:bCs/>
        </w:rPr>
      </w:pPr>
    </w:p>
    <w:sectPr w:rsidR="00B869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9A2903"/>
    <w:multiLevelType w:val="multilevel"/>
    <w:tmpl w:val="1648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54776E"/>
    <w:multiLevelType w:val="multilevel"/>
    <w:tmpl w:val="22DA4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955972">
    <w:abstractNumId w:val="1"/>
  </w:num>
  <w:num w:numId="2" w16cid:durableId="1508251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F4A"/>
    <w:rsid w:val="001056F9"/>
    <w:rsid w:val="00244A91"/>
    <w:rsid w:val="00260F4A"/>
    <w:rsid w:val="00296B98"/>
    <w:rsid w:val="002A1E98"/>
    <w:rsid w:val="002E4A4D"/>
    <w:rsid w:val="00331786"/>
    <w:rsid w:val="00355B51"/>
    <w:rsid w:val="003B3A6C"/>
    <w:rsid w:val="003D0453"/>
    <w:rsid w:val="004306D1"/>
    <w:rsid w:val="00435982"/>
    <w:rsid w:val="005D2B27"/>
    <w:rsid w:val="005E0B4A"/>
    <w:rsid w:val="00635948"/>
    <w:rsid w:val="00645AB9"/>
    <w:rsid w:val="00770F32"/>
    <w:rsid w:val="007E1C68"/>
    <w:rsid w:val="00856E2F"/>
    <w:rsid w:val="00940E3F"/>
    <w:rsid w:val="009A7538"/>
    <w:rsid w:val="00A16BDA"/>
    <w:rsid w:val="00B52604"/>
    <w:rsid w:val="00B86931"/>
    <w:rsid w:val="00C22C65"/>
    <w:rsid w:val="00CA4AFE"/>
    <w:rsid w:val="00D8385B"/>
    <w:rsid w:val="00E2372D"/>
    <w:rsid w:val="00E97CF5"/>
    <w:rsid w:val="00ED411A"/>
    <w:rsid w:val="00F92776"/>
    <w:rsid w:val="00FA4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12494"/>
  <w15:chartTrackingRefBased/>
  <w15:docId w15:val="{1577612F-510B-4AB1-B77A-CAE93BC8F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7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E0B4A"/>
    <w:rPr>
      <w:color w:val="0563C1" w:themeColor="hyperlink"/>
      <w:u w:val="single"/>
    </w:rPr>
  </w:style>
  <w:style w:type="character" w:styleId="UnresolvedMention">
    <w:name w:val="Unresolved Mention"/>
    <w:basedOn w:val="DefaultParagraphFont"/>
    <w:uiPriority w:val="99"/>
    <w:semiHidden/>
    <w:unhideWhenUsed/>
    <w:rsid w:val="005E0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395877">
      <w:bodyDiv w:val="1"/>
      <w:marLeft w:val="0"/>
      <w:marRight w:val="0"/>
      <w:marTop w:val="0"/>
      <w:marBottom w:val="0"/>
      <w:divBdr>
        <w:top w:val="none" w:sz="0" w:space="0" w:color="auto"/>
        <w:left w:val="none" w:sz="0" w:space="0" w:color="auto"/>
        <w:bottom w:val="none" w:sz="0" w:space="0" w:color="auto"/>
        <w:right w:val="none" w:sz="0" w:space="0" w:color="auto"/>
      </w:divBdr>
    </w:div>
    <w:div w:id="607391287">
      <w:bodyDiv w:val="1"/>
      <w:marLeft w:val="0"/>
      <w:marRight w:val="0"/>
      <w:marTop w:val="0"/>
      <w:marBottom w:val="0"/>
      <w:divBdr>
        <w:top w:val="none" w:sz="0" w:space="0" w:color="auto"/>
        <w:left w:val="none" w:sz="0" w:space="0" w:color="auto"/>
        <w:bottom w:val="none" w:sz="0" w:space="0" w:color="auto"/>
        <w:right w:val="none" w:sz="0" w:space="0" w:color="auto"/>
      </w:divBdr>
    </w:div>
    <w:div w:id="773478054">
      <w:bodyDiv w:val="1"/>
      <w:marLeft w:val="0"/>
      <w:marRight w:val="0"/>
      <w:marTop w:val="0"/>
      <w:marBottom w:val="0"/>
      <w:divBdr>
        <w:top w:val="none" w:sz="0" w:space="0" w:color="auto"/>
        <w:left w:val="none" w:sz="0" w:space="0" w:color="auto"/>
        <w:bottom w:val="none" w:sz="0" w:space="0" w:color="auto"/>
        <w:right w:val="none" w:sz="0" w:space="0" w:color="auto"/>
      </w:divBdr>
    </w:div>
    <w:div w:id="195212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t.go.tz/Publications/Economic%20Statistics/Fiscal%20Year/en/2024070809043946.xlsx" TargetMode="Externa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ot.go.tz/Publications/Economic%20Statistics/Fiscal%20Year/en/2024070809043946.xlsx"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image" Target="../media/image2.jpg"/><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X%20I%20A%20O%20M%20I\Desktop\DATA%20SETS\Fiscal%20Year%20-%20Exports%20of%20Goods%20and%20Services%20in%20US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[Fiscal Year - Exports of Goods and Services in USD.xlsx]Sheet5!PivotTable3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TZ"/>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15051897318507687"/>
          <c:y val="2.2345482852072295E-2"/>
          <c:w val="0.82510699623659389"/>
          <c:h val="0.76741957804501448"/>
        </c:manualLayout>
      </c:layout>
      <c:barChart>
        <c:barDir val="col"/>
        <c:grouping val="clustered"/>
        <c:varyColors val="0"/>
        <c:ser>
          <c:idx val="0"/>
          <c:order val="0"/>
          <c:tx>
            <c:strRef>
              <c:f>Sheet5!$B$3</c:f>
              <c:strCache>
                <c:ptCount val="1"/>
                <c:pt idx="0">
                  <c:v>Sum of        Coffee Unit Price</c:v>
                </c:pt>
              </c:strCache>
            </c:strRef>
          </c:tx>
          <c:spPr>
            <a:solidFill>
              <a:schemeClr val="accent1"/>
            </a:solidFill>
            <a:ln>
              <a:noFill/>
            </a:ln>
            <a:effectLst/>
          </c:spPr>
          <c:invertIfNegative val="0"/>
          <c:cat>
            <c:strRef>
              <c:f>Sheet5!$A$4:$A$29</c:f>
              <c:strCache>
                <c:ptCount val="25"/>
                <c:pt idx="0">
                  <c:v>1998/99</c:v>
                </c:pt>
                <c:pt idx="1">
                  <c:v>1999/2000</c:v>
                </c:pt>
                <c:pt idx="2">
                  <c:v>2000/01</c:v>
                </c:pt>
                <c:pt idx="3">
                  <c:v>2001/02</c:v>
                </c:pt>
                <c:pt idx="4">
                  <c:v>2002/03</c:v>
                </c:pt>
                <c:pt idx="5">
                  <c:v>2003/04</c:v>
                </c:pt>
                <c:pt idx="6">
                  <c:v>2004/05</c:v>
                </c:pt>
                <c:pt idx="7">
                  <c:v>2005/06</c:v>
                </c:pt>
                <c:pt idx="8">
                  <c:v>2006/07</c:v>
                </c:pt>
                <c:pt idx="9">
                  <c:v>2007/08</c:v>
                </c:pt>
                <c:pt idx="10">
                  <c:v>2008/09</c:v>
                </c:pt>
                <c:pt idx="11">
                  <c:v>2009/10</c:v>
                </c:pt>
                <c:pt idx="12">
                  <c:v>2010/11</c:v>
                </c:pt>
                <c:pt idx="13">
                  <c:v>2011/12</c:v>
                </c:pt>
                <c:pt idx="14">
                  <c:v>2012/13</c:v>
                </c:pt>
                <c:pt idx="15">
                  <c:v>2013/14</c:v>
                </c:pt>
                <c:pt idx="16">
                  <c:v>2014/15</c:v>
                </c:pt>
                <c:pt idx="17">
                  <c:v>2015/16</c:v>
                </c:pt>
                <c:pt idx="18">
                  <c:v>2016/17</c:v>
                </c:pt>
                <c:pt idx="19">
                  <c:v>2017/18</c:v>
                </c:pt>
                <c:pt idx="20">
                  <c:v>2018/19</c:v>
                </c:pt>
                <c:pt idx="21">
                  <c:v>2019/20</c:v>
                </c:pt>
                <c:pt idx="22">
                  <c:v>2020/21</c:v>
                </c:pt>
                <c:pt idx="23">
                  <c:v>2021/22</c:v>
                </c:pt>
                <c:pt idx="24">
                  <c:v>2022/23</c:v>
                </c:pt>
              </c:strCache>
            </c:strRef>
          </c:cat>
          <c:val>
            <c:numRef>
              <c:f>Sheet5!$B$4:$B$29</c:f>
              <c:numCache>
                <c:formatCode>#,##0.0</c:formatCode>
                <c:ptCount val="25"/>
                <c:pt idx="0">
                  <c:v>2193.6386890434815</c:v>
                </c:pt>
                <c:pt idx="1">
                  <c:v>1778.2313874030285</c:v>
                </c:pt>
                <c:pt idx="2">
                  <c:v>1277.9715912849217</c:v>
                </c:pt>
                <c:pt idx="3">
                  <c:v>981.2135230330997</c:v>
                </c:pt>
                <c:pt idx="4">
                  <c:v>1042.6382300855541</c:v>
                </c:pt>
                <c:pt idx="5">
                  <c:v>1179.5173116019441</c:v>
                </c:pt>
                <c:pt idx="6">
                  <c:v>1474.9783048469258</c:v>
                </c:pt>
                <c:pt idx="7">
                  <c:v>1864.0178039511416</c:v>
                </c:pt>
                <c:pt idx="8">
                  <c:v>2018.3399291508852</c:v>
                </c:pt>
                <c:pt idx="9">
                  <c:v>2291.4610441317227</c:v>
                </c:pt>
                <c:pt idx="10">
                  <c:v>2019.2075936394115</c:v>
                </c:pt>
                <c:pt idx="11">
                  <c:v>2269.934868204693</c:v>
                </c:pt>
                <c:pt idx="12">
                  <c:v>3162.7148757264904</c:v>
                </c:pt>
                <c:pt idx="13">
                  <c:v>4510.3769498017427</c:v>
                </c:pt>
                <c:pt idx="14">
                  <c:v>2886.3587271865922</c:v>
                </c:pt>
                <c:pt idx="15">
                  <c:v>2578.3860047801927</c:v>
                </c:pt>
                <c:pt idx="16">
                  <c:v>2800.7675033853793</c:v>
                </c:pt>
                <c:pt idx="17">
                  <c:v>2641.0769515580569</c:v>
                </c:pt>
                <c:pt idx="18">
                  <c:v>2865.0509169943803</c:v>
                </c:pt>
                <c:pt idx="19">
                  <c:v>2935.9267952710347</c:v>
                </c:pt>
                <c:pt idx="20">
                  <c:v>2162.475038829984</c:v>
                </c:pt>
                <c:pt idx="21">
                  <c:v>2048.7401075272051</c:v>
                </c:pt>
                <c:pt idx="22">
                  <c:v>2155.3682595226214</c:v>
                </c:pt>
                <c:pt idx="23">
                  <c:v>2838.9484085011291</c:v>
                </c:pt>
                <c:pt idx="24">
                  <c:v>2778.843899706485</c:v>
                </c:pt>
              </c:numCache>
            </c:numRef>
          </c:val>
          <c:extLst>
            <c:ext xmlns:c16="http://schemas.microsoft.com/office/drawing/2014/chart" uri="{C3380CC4-5D6E-409C-BE32-E72D297353CC}">
              <c16:uniqueId val="{00000000-062A-4494-AC9B-D90D5D888B2B}"/>
            </c:ext>
          </c:extLst>
        </c:ser>
        <c:ser>
          <c:idx val="1"/>
          <c:order val="1"/>
          <c:tx>
            <c:strRef>
              <c:f>Sheet5!$C$3</c:f>
              <c:strCache>
                <c:ptCount val="1"/>
                <c:pt idx="0">
                  <c:v>Sum of       Cotton Unit Price</c:v>
                </c:pt>
              </c:strCache>
            </c:strRef>
          </c:tx>
          <c:spPr>
            <a:solidFill>
              <a:schemeClr val="accent2"/>
            </a:solidFill>
            <a:ln>
              <a:noFill/>
            </a:ln>
            <a:effectLst/>
          </c:spPr>
          <c:invertIfNegative val="0"/>
          <c:cat>
            <c:strRef>
              <c:f>Sheet5!$A$4:$A$29</c:f>
              <c:strCache>
                <c:ptCount val="25"/>
                <c:pt idx="0">
                  <c:v>1998/99</c:v>
                </c:pt>
                <c:pt idx="1">
                  <c:v>1999/2000</c:v>
                </c:pt>
                <c:pt idx="2">
                  <c:v>2000/01</c:v>
                </c:pt>
                <c:pt idx="3">
                  <c:v>2001/02</c:v>
                </c:pt>
                <c:pt idx="4">
                  <c:v>2002/03</c:v>
                </c:pt>
                <c:pt idx="5">
                  <c:v>2003/04</c:v>
                </c:pt>
                <c:pt idx="6">
                  <c:v>2004/05</c:v>
                </c:pt>
                <c:pt idx="7">
                  <c:v>2005/06</c:v>
                </c:pt>
                <c:pt idx="8">
                  <c:v>2006/07</c:v>
                </c:pt>
                <c:pt idx="9">
                  <c:v>2007/08</c:v>
                </c:pt>
                <c:pt idx="10">
                  <c:v>2008/09</c:v>
                </c:pt>
                <c:pt idx="11">
                  <c:v>2009/10</c:v>
                </c:pt>
                <c:pt idx="12">
                  <c:v>2010/11</c:v>
                </c:pt>
                <c:pt idx="13">
                  <c:v>2011/12</c:v>
                </c:pt>
                <c:pt idx="14">
                  <c:v>2012/13</c:v>
                </c:pt>
                <c:pt idx="15">
                  <c:v>2013/14</c:v>
                </c:pt>
                <c:pt idx="16">
                  <c:v>2014/15</c:v>
                </c:pt>
                <c:pt idx="17">
                  <c:v>2015/16</c:v>
                </c:pt>
                <c:pt idx="18">
                  <c:v>2016/17</c:v>
                </c:pt>
                <c:pt idx="19">
                  <c:v>2017/18</c:v>
                </c:pt>
                <c:pt idx="20">
                  <c:v>2018/19</c:v>
                </c:pt>
                <c:pt idx="21">
                  <c:v>2019/20</c:v>
                </c:pt>
                <c:pt idx="22">
                  <c:v>2020/21</c:v>
                </c:pt>
                <c:pt idx="23">
                  <c:v>2021/22</c:v>
                </c:pt>
                <c:pt idx="24">
                  <c:v>2022/23</c:v>
                </c:pt>
              </c:strCache>
            </c:strRef>
          </c:cat>
          <c:val>
            <c:numRef>
              <c:f>Sheet5!$C$4:$C$29</c:f>
              <c:numCache>
                <c:formatCode>#,##0.0</c:formatCode>
                <c:ptCount val="25"/>
                <c:pt idx="0">
                  <c:v>1357.1820977098535</c:v>
                </c:pt>
                <c:pt idx="1">
                  <c:v>970.86293889401782</c:v>
                </c:pt>
                <c:pt idx="2">
                  <c:v>1054.3530128733451</c:v>
                </c:pt>
                <c:pt idx="3">
                  <c:v>887.09010684492762</c:v>
                </c:pt>
                <c:pt idx="4">
                  <c:v>857.19175109506114</c:v>
                </c:pt>
                <c:pt idx="5">
                  <c:v>944.39003584665568</c:v>
                </c:pt>
                <c:pt idx="6">
                  <c:v>1019.8385409738509</c:v>
                </c:pt>
                <c:pt idx="7">
                  <c:v>987.79324340465496</c:v>
                </c:pt>
                <c:pt idx="8">
                  <c:v>1013.3712606899907</c:v>
                </c:pt>
                <c:pt idx="9">
                  <c:v>1207.0482617907423</c:v>
                </c:pt>
                <c:pt idx="10">
                  <c:v>1239.6635342870634</c:v>
                </c:pt>
                <c:pt idx="11">
                  <c:v>1105.7564775147937</c:v>
                </c:pt>
                <c:pt idx="12">
                  <c:v>1321.7015173149798</c:v>
                </c:pt>
                <c:pt idx="13">
                  <c:v>1580.3382761104253</c:v>
                </c:pt>
                <c:pt idx="14">
                  <c:v>1205.8551978565506</c:v>
                </c:pt>
                <c:pt idx="15">
                  <c:v>1205.3227229123047</c:v>
                </c:pt>
                <c:pt idx="16">
                  <c:v>627.85313471151653</c:v>
                </c:pt>
                <c:pt idx="17">
                  <c:v>961.73409747170547</c:v>
                </c:pt>
                <c:pt idx="18">
                  <c:v>1447.207550928721</c:v>
                </c:pt>
                <c:pt idx="19">
                  <c:v>1421.5844218402863</c:v>
                </c:pt>
                <c:pt idx="20">
                  <c:v>1498.0184999220037</c:v>
                </c:pt>
                <c:pt idx="21">
                  <c:v>1141.5531011572912</c:v>
                </c:pt>
                <c:pt idx="22">
                  <c:v>1236.2159322004084</c:v>
                </c:pt>
                <c:pt idx="23">
                  <c:v>1784.1912781571855</c:v>
                </c:pt>
                <c:pt idx="24">
                  <c:v>2063.1096921823546</c:v>
                </c:pt>
              </c:numCache>
            </c:numRef>
          </c:val>
          <c:extLst>
            <c:ext xmlns:c16="http://schemas.microsoft.com/office/drawing/2014/chart" uri="{C3380CC4-5D6E-409C-BE32-E72D297353CC}">
              <c16:uniqueId val="{00000001-062A-4494-AC9B-D90D5D888B2B}"/>
            </c:ext>
          </c:extLst>
        </c:ser>
        <c:ser>
          <c:idx val="2"/>
          <c:order val="2"/>
          <c:tx>
            <c:strRef>
              <c:f>Sheet5!$D$3</c:f>
              <c:strCache>
                <c:ptCount val="1"/>
                <c:pt idx="0">
                  <c:v>Sum of       Sisal Unit Price</c:v>
                </c:pt>
              </c:strCache>
            </c:strRef>
          </c:tx>
          <c:spPr>
            <a:solidFill>
              <a:schemeClr val="accent3"/>
            </a:solidFill>
            <a:ln>
              <a:noFill/>
            </a:ln>
            <a:effectLst/>
          </c:spPr>
          <c:invertIfNegative val="0"/>
          <c:cat>
            <c:strRef>
              <c:f>Sheet5!$A$4:$A$29</c:f>
              <c:strCache>
                <c:ptCount val="25"/>
                <c:pt idx="0">
                  <c:v>1998/99</c:v>
                </c:pt>
                <c:pt idx="1">
                  <c:v>1999/2000</c:v>
                </c:pt>
                <c:pt idx="2">
                  <c:v>2000/01</c:v>
                </c:pt>
                <c:pt idx="3">
                  <c:v>2001/02</c:v>
                </c:pt>
                <c:pt idx="4">
                  <c:v>2002/03</c:v>
                </c:pt>
                <c:pt idx="5">
                  <c:v>2003/04</c:v>
                </c:pt>
                <c:pt idx="6">
                  <c:v>2004/05</c:v>
                </c:pt>
                <c:pt idx="7">
                  <c:v>2005/06</c:v>
                </c:pt>
                <c:pt idx="8">
                  <c:v>2006/07</c:v>
                </c:pt>
                <c:pt idx="9">
                  <c:v>2007/08</c:v>
                </c:pt>
                <c:pt idx="10">
                  <c:v>2008/09</c:v>
                </c:pt>
                <c:pt idx="11">
                  <c:v>2009/10</c:v>
                </c:pt>
                <c:pt idx="12">
                  <c:v>2010/11</c:v>
                </c:pt>
                <c:pt idx="13">
                  <c:v>2011/12</c:v>
                </c:pt>
                <c:pt idx="14">
                  <c:v>2012/13</c:v>
                </c:pt>
                <c:pt idx="15">
                  <c:v>2013/14</c:v>
                </c:pt>
                <c:pt idx="16">
                  <c:v>2014/15</c:v>
                </c:pt>
                <c:pt idx="17">
                  <c:v>2015/16</c:v>
                </c:pt>
                <c:pt idx="18">
                  <c:v>2016/17</c:v>
                </c:pt>
                <c:pt idx="19">
                  <c:v>2017/18</c:v>
                </c:pt>
                <c:pt idx="20">
                  <c:v>2018/19</c:v>
                </c:pt>
                <c:pt idx="21">
                  <c:v>2019/20</c:v>
                </c:pt>
                <c:pt idx="22">
                  <c:v>2020/21</c:v>
                </c:pt>
                <c:pt idx="23">
                  <c:v>2021/22</c:v>
                </c:pt>
                <c:pt idx="24">
                  <c:v>2022/23</c:v>
                </c:pt>
              </c:strCache>
            </c:strRef>
          </c:cat>
          <c:val>
            <c:numRef>
              <c:f>Sheet5!$D$4:$D$29</c:f>
              <c:numCache>
                <c:formatCode>#,##0.0</c:formatCode>
                <c:ptCount val="25"/>
                <c:pt idx="0">
                  <c:v>560.64899259667027</c:v>
                </c:pt>
                <c:pt idx="1">
                  <c:v>414.34470179746631</c:v>
                </c:pt>
                <c:pt idx="2">
                  <c:v>457.91870339040088</c:v>
                </c:pt>
                <c:pt idx="3">
                  <c:v>491.52897022554254</c:v>
                </c:pt>
                <c:pt idx="4">
                  <c:v>514.30006272911533</c:v>
                </c:pt>
                <c:pt idx="5">
                  <c:v>545.99840323371654</c:v>
                </c:pt>
                <c:pt idx="6">
                  <c:v>748.97715319124688</c:v>
                </c:pt>
                <c:pt idx="7">
                  <c:v>767.53992392322141</c:v>
                </c:pt>
                <c:pt idx="8">
                  <c:v>832.36721241227986</c:v>
                </c:pt>
                <c:pt idx="9">
                  <c:v>1096.9487686273758</c:v>
                </c:pt>
                <c:pt idx="10">
                  <c:v>1082.6510146667733</c:v>
                </c:pt>
                <c:pt idx="11">
                  <c:v>830.37640249792673</c:v>
                </c:pt>
                <c:pt idx="12">
                  <c:v>1121.046888903543</c:v>
                </c:pt>
                <c:pt idx="13">
                  <c:v>1318.6451016689682</c:v>
                </c:pt>
                <c:pt idx="14">
                  <c:v>1323.3879392801716</c:v>
                </c:pt>
                <c:pt idx="15">
                  <c:v>1432.3324501567549</c:v>
                </c:pt>
                <c:pt idx="16">
                  <c:v>1663.1099526536093</c:v>
                </c:pt>
                <c:pt idx="17">
                  <c:v>1826.2868827108994</c:v>
                </c:pt>
                <c:pt idx="18">
                  <c:v>1766.0060509633634</c:v>
                </c:pt>
                <c:pt idx="19">
                  <c:v>1592.2570521188484</c:v>
                </c:pt>
                <c:pt idx="20">
                  <c:v>1567.7654108223292</c:v>
                </c:pt>
                <c:pt idx="21">
                  <c:v>1567.8133887292718</c:v>
                </c:pt>
                <c:pt idx="22">
                  <c:v>1581.6961727638577</c:v>
                </c:pt>
                <c:pt idx="23">
                  <c:v>1621.0942221704622</c:v>
                </c:pt>
                <c:pt idx="24">
                  <c:v>1651.5584666720649</c:v>
                </c:pt>
              </c:numCache>
            </c:numRef>
          </c:val>
          <c:extLst>
            <c:ext xmlns:c16="http://schemas.microsoft.com/office/drawing/2014/chart" uri="{C3380CC4-5D6E-409C-BE32-E72D297353CC}">
              <c16:uniqueId val="{00000002-062A-4494-AC9B-D90D5D888B2B}"/>
            </c:ext>
          </c:extLst>
        </c:ser>
        <c:ser>
          <c:idx val="3"/>
          <c:order val="3"/>
          <c:tx>
            <c:strRef>
              <c:f>Sheet5!$E$3</c:f>
              <c:strCache>
                <c:ptCount val="1"/>
                <c:pt idx="0">
                  <c:v>Sum of       Tea Unit Price</c:v>
                </c:pt>
              </c:strCache>
            </c:strRef>
          </c:tx>
          <c:spPr>
            <a:solidFill>
              <a:schemeClr val="accent4"/>
            </a:solidFill>
            <a:ln>
              <a:noFill/>
            </a:ln>
            <a:effectLst/>
          </c:spPr>
          <c:invertIfNegative val="0"/>
          <c:cat>
            <c:strRef>
              <c:f>Sheet5!$A$4:$A$29</c:f>
              <c:strCache>
                <c:ptCount val="25"/>
                <c:pt idx="0">
                  <c:v>1998/99</c:v>
                </c:pt>
                <c:pt idx="1">
                  <c:v>1999/2000</c:v>
                </c:pt>
                <c:pt idx="2">
                  <c:v>2000/01</c:v>
                </c:pt>
                <c:pt idx="3">
                  <c:v>2001/02</c:v>
                </c:pt>
                <c:pt idx="4">
                  <c:v>2002/03</c:v>
                </c:pt>
                <c:pt idx="5">
                  <c:v>2003/04</c:v>
                </c:pt>
                <c:pt idx="6">
                  <c:v>2004/05</c:v>
                </c:pt>
                <c:pt idx="7">
                  <c:v>2005/06</c:v>
                </c:pt>
                <c:pt idx="8">
                  <c:v>2006/07</c:v>
                </c:pt>
                <c:pt idx="9">
                  <c:v>2007/08</c:v>
                </c:pt>
                <c:pt idx="10">
                  <c:v>2008/09</c:v>
                </c:pt>
                <c:pt idx="11">
                  <c:v>2009/10</c:v>
                </c:pt>
                <c:pt idx="12">
                  <c:v>2010/11</c:v>
                </c:pt>
                <c:pt idx="13">
                  <c:v>2011/12</c:v>
                </c:pt>
                <c:pt idx="14">
                  <c:v>2012/13</c:v>
                </c:pt>
                <c:pt idx="15">
                  <c:v>2013/14</c:v>
                </c:pt>
                <c:pt idx="16">
                  <c:v>2014/15</c:v>
                </c:pt>
                <c:pt idx="17">
                  <c:v>2015/16</c:v>
                </c:pt>
                <c:pt idx="18">
                  <c:v>2016/17</c:v>
                </c:pt>
                <c:pt idx="19">
                  <c:v>2017/18</c:v>
                </c:pt>
                <c:pt idx="20">
                  <c:v>2018/19</c:v>
                </c:pt>
                <c:pt idx="21">
                  <c:v>2019/20</c:v>
                </c:pt>
                <c:pt idx="22">
                  <c:v>2020/21</c:v>
                </c:pt>
                <c:pt idx="23">
                  <c:v>2021/22</c:v>
                </c:pt>
                <c:pt idx="24">
                  <c:v>2022/23</c:v>
                </c:pt>
              </c:strCache>
            </c:strRef>
          </c:cat>
          <c:val>
            <c:numRef>
              <c:f>Sheet5!$E$4:$E$29</c:f>
              <c:numCache>
                <c:formatCode>#,##0.0</c:formatCode>
                <c:ptCount val="25"/>
                <c:pt idx="0">
                  <c:v>1146.6154911366536</c:v>
                </c:pt>
                <c:pt idx="1">
                  <c:v>1269.7968704070033</c:v>
                </c:pt>
                <c:pt idx="2">
                  <c:v>1384.9374382390756</c:v>
                </c:pt>
                <c:pt idx="3">
                  <c:v>1217.6830963285345</c:v>
                </c:pt>
                <c:pt idx="4">
                  <c:v>1187.0305486210011</c:v>
                </c:pt>
                <c:pt idx="5">
                  <c:v>1227.8957239796036</c:v>
                </c:pt>
                <c:pt idx="6">
                  <c:v>1180.8087725923992</c:v>
                </c:pt>
                <c:pt idx="7">
                  <c:v>1258.1695941998078</c:v>
                </c:pt>
                <c:pt idx="8">
                  <c:v>1454.1833100442204</c:v>
                </c:pt>
                <c:pt idx="9">
                  <c:v>1370.2712987610807</c:v>
                </c:pt>
                <c:pt idx="10">
                  <c:v>1360.3351533872597</c:v>
                </c:pt>
                <c:pt idx="11">
                  <c:v>1993.5240868616211</c:v>
                </c:pt>
                <c:pt idx="12">
                  <c:v>1698.4265669506199</c:v>
                </c:pt>
                <c:pt idx="13">
                  <c:v>1912.4563883722337</c:v>
                </c:pt>
                <c:pt idx="14">
                  <c:v>2118.9635531018039</c:v>
                </c:pt>
                <c:pt idx="15">
                  <c:v>2030.6379428374789</c:v>
                </c:pt>
                <c:pt idx="16">
                  <c:v>1563.390573367149</c:v>
                </c:pt>
                <c:pt idx="17">
                  <c:v>1734.9654843212006</c:v>
                </c:pt>
                <c:pt idx="18">
                  <c:v>1738.1778025751735</c:v>
                </c:pt>
                <c:pt idx="19">
                  <c:v>1796.1622110636508</c:v>
                </c:pt>
                <c:pt idx="20">
                  <c:v>1508.740722145528</c:v>
                </c:pt>
                <c:pt idx="21">
                  <c:v>1390.7066747862214</c:v>
                </c:pt>
                <c:pt idx="22">
                  <c:v>1321.6437810419213</c:v>
                </c:pt>
                <c:pt idx="23">
                  <c:v>1377.8499926490704</c:v>
                </c:pt>
                <c:pt idx="24">
                  <c:v>1458.9305627458682</c:v>
                </c:pt>
              </c:numCache>
            </c:numRef>
          </c:val>
          <c:extLst>
            <c:ext xmlns:c16="http://schemas.microsoft.com/office/drawing/2014/chart" uri="{C3380CC4-5D6E-409C-BE32-E72D297353CC}">
              <c16:uniqueId val="{00000003-062A-4494-AC9B-D90D5D888B2B}"/>
            </c:ext>
          </c:extLst>
        </c:ser>
        <c:ser>
          <c:idx val="4"/>
          <c:order val="4"/>
          <c:tx>
            <c:strRef>
              <c:f>Sheet5!$F$3</c:f>
              <c:strCache>
                <c:ptCount val="1"/>
                <c:pt idx="0">
                  <c:v>Sum of      Tobacco Unit Price</c:v>
                </c:pt>
              </c:strCache>
            </c:strRef>
          </c:tx>
          <c:spPr>
            <a:solidFill>
              <a:schemeClr val="accent5"/>
            </a:solidFill>
            <a:ln>
              <a:noFill/>
            </a:ln>
            <a:effectLst/>
          </c:spPr>
          <c:invertIfNegative val="0"/>
          <c:cat>
            <c:strRef>
              <c:f>Sheet5!$A$4:$A$29</c:f>
              <c:strCache>
                <c:ptCount val="25"/>
                <c:pt idx="0">
                  <c:v>1998/99</c:v>
                </c:pt>
                <c:pt idx="1">
                  <c:v>1999/2000</c:v>
                </c:pt>
                <c:pt idx="2">
                  <c:v>2000/01</c:v>
                </c:pt>
                <c:pt idx="3">
                  <c:v>2001/02</c:v>
                </c:pt>
                <c:pt idx="4">
                  <c:v>2002/03</c:v>
                </c:pt>
                <c:pt idx="5">
                  <c:v>2003/04</c:v>
                </c:pt>
                <c:pt idx="6">
                  <c:v>2004/05</c:v>
                </c:pt>
                <c:pt idx="7">
                  <c:v>2005/06</c:v>
                </c:pt>
                <c:pt idx="8">
                  <c:v>2006/07</c:v>
                </c:pt>
                <c:pt idx="9">
                  <c:v>2007/08</c:v>
                </c:pt>
                <c:pt idx="10">
                  <c:v>2008/09</c:v>
                </c:pt>
                <c:pt idx="11">
                  <c:v>2009/10</c:v>
                </c:pt>
                <c:pt idx="12">
                  <c:v>2010/11</c:v>
                </c:pt>
                <c:pt idx="13">
                  <c:v>2011/12</c:v>
                </c:pt>
                <c:pt idx="14">
                  <c:v>2012/13</c:v>
                </c:pt>
                <c:pt idx="15">
                  <c:v>2013/14</c:v>
                </c:pt>
                <c:pt idx="16">
                  <c:v>2014/15</c:v>
                </c:pt>
                <c:pt idx="17">
                  <c:v>2015/16</c:v>
                </c:pt>
                <c:pt idx="18">
                  <c:v>2016/17</c:v>
                </c:pt>
                <c:pt idx="19">
                  <c:v>2017/18</c:v>
                </c:pt>
                <c:pt idx="20">
                  <c:v>2018/19</c:v>
                </c:pt>
                <c:pt idx="21">
                  <c:v>2019/20</c:v>
                </c:pt>
                <c:pt idx="22">
                  <c:v>2020/21</c:v>
                </c:pt>
                <c:pt idx="23">
                  <c:v>2021/22</c:v>
                </c:pt>
                <c:pt idx="24">
                  <c:v>2022/23</c:v>
                </c:pt>
              </c:strCache>
            </c:strRef>
          </c:cat>
          <c:val>
            <c:numRef>
              <c:f>Sheet5!$F$4:$F$29</c:f>
              <c:numCache>
                <c:formatCode>#,##0.0</c:formatCode>
                <c:ptCount val="25"/>
                <c:pt idx="0">
                  <c:v>2065.4163554048687</c:v>
                </c:pt>
                <c:pt idx="1">
                  <c:v>2042.8398298724831</c:v>
                </c:pt>
                <c:pt idx="2">
                  <c:v>1798.9031545088819</c:v>
                </c:pt>
                <c:pt idx="3">
                  <c:v>2119.5800701675716</c:v>
                </c:pt>
                <c:pt idx="4">
                  <c:v>2261.7501092584002</c:v>
                </c:pt>
                <c:pt idx="5">
                  <c:v>1921.2060990317152</c:v>
                </c:pt>
                <c:pt idx="6">
                  <c:v>2188.2969838280469</c:v>
                </c:pt>
                <c:pt idx="7">
                  <c:v>2963.9634099512905</c:v>
                </c:pt>
                <c:pt idx="8">
                  <c:v>2379.0228467170036</c:v>
                </c:pt>
                <c:pt idx="9">
                  <c:v>3016.9132465570024</c:v>
                </c:pt>
                <c:pt idx="10">
                  <c:v>2932.6554942595758</c:v>
                </c:pt>
                <c:pt idx="11">
                  <c:v>4351.3363403548437</c:v>
                </c:pt>
                <c:pt idx="12">
                  <c:v>4506.1300882456626</c:v>
                </c:pt>
                <c:pt idx="13">
                  <c:v>3155.1799381632277</c:v>
                </c:pt>
                <c:pt idx="14">
                  <c:v>3340.165973095196</c:v>
                </c:pt>
                <c:pt idx="15">
                  <c:v>3637.9165633844354</c:v>
                </c:pt>
                <c:pt idx="16">
                  <c:v>1924.7663172524444</c:v>
                </c:pt>
                <c:pt idx="17">
                  <c:v>4110.8144136142682</c:v>
                </c:pt>
                <c:pt idx="18">
                  <c:v>4750.533773532763</c:v>
                </c:pt>
                <c:pt idx="19">
                  <c:v>3594.950286268428</c:v>
                </c:pt>
                <c:pt idx="20">
                  <c:v>3979.3381520328085</c:v>
                </c:pt>
                <c:pt idx="21">
                  <c:v>3420.9971801720953</c:v>
                </c:pt>
                <c:pt idx="22">
                  <c:v>3553.4877868981152</c:v>
                </c:pt>
                <c:pt idx="23">
                  <c:v>3255.9154605480517</c:v>
                </c:pt>
                <c:pt idx="24">
                  <c:v>3766.526379000255</c:v>
                </c:pt>
              </c:numCache>
            </c:numRef>
          </c:val>
          <c:extLst>
            <c:ext xmlns:c16="http://schemas.microsoft.com/office/drawing/2014/chart" uri="{C3380CC4-5D6E-409C-BE32-E72D297353CC}">
              <c16:uniqueId val="{00000004-062A-4494-AC9B-D90D5D888B2B}"/>
            </c:ext>
          </c:extLst>
        </c:ser>
        <c:ser>
          <c:idx val="5"/>
          <c:order val="5"/>
          <c:tx>
            <c:strRef>
              <c:f>Sheet5!$G$3</c:f>
              <c:strCache>
                <c:ptCount val="1"/>
                <c:pt idx="0">
                  <c:v>Sum of         Cashewnuts Unit Price</c:v>
                </c:pt>
              </c:strCache>
            </c:strRef>
          </c:tx>
          <c:spPr>
            <a:solidFill>
              <a:schemeClr val="accent6"/>
            </a:solidFill>
            <a:ln>
              <a:noFill/>
            </a:ln>
            <a:effectLst/>
          </c:spPr>
          <c:invertIfNegative val="0"/>
          <c:cat>
            <c:strRef>
              <c:f>Sheet5!$A$4:$A$29</c:f>
              <c:strCache>
                <c:ptCount val="25"/>
                <c:pt idx="0">
                  <c:v>1998/99</c:v>
                </c:pt>
                <c:pt idx="1">
                  <c:v>1999/2000</c:v>
                </c:pt>
                <c:pt idx="2">
                  <c:v>2000/01</c:v>
                </c:pt>
                <c:pt idx="3">
                  <c:v>2001/02</c:v>
                </c:pt>
                <c:pt idx="4">
                  <c:v>2002/03</c:v>
                </c:pt>
                <c:pt idx="5">
                  <c:v>2003/04</c:v>
                </c:pt>
                <c:pt idx="6">
                  <c:v>2004/05</c:v>
                </c:pt>
                <c:pt idx="7">
                  <c:v>2005/06</c:v>
                </c:pt>
                <c:pt idx="8">
                  <c:v>2006/07</c:v>
                </c:pt>
                <c:pt idx="9">
                  <c:v>2007/08</c:v>
                </c:pt>
                <c:pt idx="10">
                  <c:v>2008/09</c:v>
                </c:pt>
                <c:pt idx="11">
                  <c:v>2009/10</c:v>
                </c:pt>
                <c:pt idx="12">
                  <c:v>2010/11</c:v>
                </c:pt>
                <c:pt idx="13">
                  <c:v>2011/12</c:v>
                </c:pt>
                <c:pt idx="14">
                  <c:v>2012/13</c:v>
                </c:pt>
                <c:pt idx="15">
                  <c:v>2013/14</c:v>
                </c:pt>
                <c:pt idx="16">
                  <c:v>2014/15</c:v>
                </c:pt>
                <c:pt idx="17">
                  <c:v>2015/16</c:v>
                </c:pt>
                <c:pt idx="18">
                  <c:v>2016/17</c:v>
                </c:pt>
                <c:pt idx="19">
                  <c:v>2017/18</c:v>
                </c:pt>
                <c:pt idx="20">
                  <c:v>2018/19</c:v>
                </c:pt>
                <c:pt idx="21">
                  <c:v>2019/20</c:v>
                </c:pt>
                <c:pt idx="22">
                  <c:v>2020/21</c:v>
                </c:pt>
                <c:pt idx="23">
                  <c:v>2021/22</c:v>
                </c:pt>
                <c:pt idx="24">
                  <c:v>2022/23</c:v>
                </c:pt>
              </c:strCache>
            </c:strRef>
          </c:cat>
          <c:val>
            <c:numRef>
              <c:f>Sheet5!$G$4:$G$29</c:f>
              <c:numCache>
                <c:formatCode>#,##0.0</c:formatCode>
                <c:ptCount val="25"/>
                <c:pt idx="0">
                  <c:v>632.50721709630704</c:v>
                </c:pt>
                <c:pt idx="1">
                  <c:v>1025.2269242187069</c:v>
                </c:pt>
                <c:pt idx="2">
                  <c:v>713.24531376420362</c:v>
                </c:pt>
                <c:pt idx="3">
                  <c:v>578.35660768307014</c:v>
                </c:pt>
                <c:pt idx="4">
                  <c:v>597.59640785958402</c:v>
                </c:pt>
                <c:pt idx="5">
                  <c:v>633.9800591175956</c:v>
                </c:pt>
                <c:pt idx="6">
                  <c:v>861.93146977344679</c:v>
                </c:pt>
                <c:pt idx="7">
                  <c:v>742.18011840814029</c:v>
                </c:pt>
                <c:pt idx="8">
                  <c:v>494.72516135850492</c:v>
                </c:pt>
                <c:pt idx="9">
                  <c:v>804.58583606288732</c:v>
                </c:pt>
                <c:pt idx="10">
                  <c:v>713.84768290745239</c:v>
                </c:pt>
                <c:pt idx="11">
                  <c:v>727.12819693235053</c:v>
                </c:pt>
                <c:pt idx="12">
                  <c:v>1083.7732876135622</c:v>
                </c:pt>
                <c:pt idx="13">
                  <c:v>1124.5272199098647</c:v>
                </c:pt>
                <c:pt idx="14">
                  <c:v>1092.3113338493097</c:v>
                </c:pt>
                <c:pt idx="15">
                  <c:v>1048.5167456745269</c:v>
                </c:pt>
                <c:pt idx="16">
                  <c:v>1094.3441022404397</c:v>
                </c:pt>
                <c:pt idx="17">
                  <c:v>1159.2428826127432</c:v>
                </c:pt>
                <c:pt idx="18">
                  <c:v>1512.1506422780533</c:v>
                </c:pt>
                <c:pt idx="19">
                  <c:v>1691.1876274960371</c:v>
                </c:pt>
                <c:pt idx="20">
                  <c:v>1145.4305634725879</c:v>
                </c:pt>
                <c:pt idx="21">
                  <c:v>1183.5424706771939</c:v>
                </c:pt>
                <c:pt idx="22">
                  <c:v>1086.6921853017736</c:v>
                </c:pt>
                <c:pt idx="23">
                  <c:v>1017.5509459280341</c:v>
                </c:pt>
                <c:pt idx="24">
                  <c:v>956.86651199073788</c:v>
                </c:pt>
              </c:numCache>
            </c:numRef>
          </c:val>
          <c:extLst>
            <c:ext xmlns:c16="http://schemas.microsoft.com/office/drawing/2014/chart" uri="{C3380CC4-5D6E-409C-BE32-E72D297353CC}">
              <c16:uniqueId val="{00000005-062A-4494-AC9B-D90D5D888B2B}"/>
            </c:ext>
          </c:extLst>
        </c:ser>
        <c:ser>
          <c:idx val="6"/>
          <c:order val="6"/>
          <c:tx>
            <c:strRef>
              <c:f>Sheet5!$H$3</c:f>
              <c:strCache>
                <c:ptCount val="1"/>
                <c:pt idx="0">
                  <c:v>Sum of       ClovesUnit Price</c:v>
                </c:pt>
              </c:strCache>
            </c:strRef>
          </c:tx>
          <c:spPr>
            <a:solidFill>
              <a:schemeClr val="accent1">
                <a:lumMod val="60000"/>
              </a:schemeClr>
            </a:solidFill>
            <a:ln>
              <a:noFill/>
            </a:ln>
            <a:effectLst/>
          </c:spPr>
          <c:invertIfNegative val="0"/>
          <c:cat>
            <c:strRef>
              <c:f>Sheet5!$A$4:$A$29</c:f>
              <c:strCache>
                <c:ptCount val="25"/>
                <c:pt idx="0">
                  <c:v>1998/99</c:v>
                </c:pt>
                <c:pt idx="1">
                  <c:v>1999/2000</c:v>
                </c:pt>
                <c:pt idx="2">
                  <c:v>2000/01</c:v>
                </c:pt>
                <c:pt idx="3">
                  <c:v>2001/02</c:v>
                </c:pt>
                <c:pt idx="4">
                  <c:v>2002/03</c:v>
                </c:pt>
                <c:pt idx="5">
                  <c:v>2003/04</c:v>
                </c:pt>
                <c:pt idx="6">
                  <c:v>2004/05</c:v>
                </c:pt>
                <c:pt idx="7">
                  <c:v>2005/06</c:v>
                </c:pt>
                <c:pt idx="8">
                  <c:v>2006/07</c:v>
                </c:pt>
                <c:pt idx="9">
                  <c:v>2007/08</c:v>
                </c:pt>
                <c:pt idx="10">
                  <c:v>2008/09</c:v>
                </c:pt>
                <c:pt idx="11">
                  <c:v>2009/10</c:v>
                </c:pt>
                <c:pt idx="12">
                  <c:v>2010/11</c:v>
                </c:pt>
                <c:pt idx="13">
                  <c:v>2011/12</c:v>
                </c:pt>
                <c:pt idx="14">
                  <c:v>2012/13</c:v>
                </c:pt>
                <c:pt idx="15">
                  <c:v>2013/14</c:v>
                </c:pt>
                <c:pt idx="16">
                  <c:v>2014/15</c:v>
                </c:pt>
                <c:pt idx="17">
                  <c:v>2015/16</c:v>
                </c:pt>
                <c:pt idx="18">
                  <c:v>2016/17</c:v>
                </c:pt>
                <c:pt idx="19">
                  <c:v>2017/18</c:v>
                </c:pt>
                <c:pt idx="20">
                  <c:v>2018/19</c:v>
                </c:pt>
                <c:pt idx="21">
                  <c:v>2019/20</c:v>
                </c:pt>
                <c:pt idx="22">
                  <c:v>2020/21</c:v>
                </c:pt>
                <c:pt idx="23">
                  <c:v>2021/22</c:v>
                </c:pt>
                <c:pt idx="24">
                  <c:v>2022/23</c:v>
                </c:pt>
              </c:strCache>
            </c:strRef>
          </c:cat>
          <c:val>
            <c:numRef>
              <c:f>Sheet5!$H$4:$H$29</c:f>
              <c:numCache>
                <c:formatCode>#,##0.0</c:formatCode>
                <c:ptCount val="25"/>
                <c:pt idx="0">
                  <c:v>3347.3565200756557</c:v>
                </c:pt>
                <c:pt idx="1">
                  <c:v>3270.6012430974984</c:v>
                </c:pt>
                <c:pt idx="2">
                  <c:v>3252.5455064870666</c:v>
                </c:pt>
                <c:pt idx="3">
                  <c:v>5221.0888385488024</c:v>
                </c:pt>
                <c:pt idx="4">
                  <c:v>2532.8069080316272</c:v>
                </c:pt>
                <c:pt idx="5">
                  <c:v>1695.2939183163905</c:v>
                </c:pt>
                <c:pt idx="6">
                  <c:v>1634.9939999999999</c:v>
                </c:pt>
                <c:pt idx="7">
                  <c:v>2922.1775612092911</c:v>
                </c:pt>
                <c:pt idx="8">
                  <c:v>3207.7130078424834</c:v>
                </c:pt>
                <c:pt idx="9">
                  <c:v>3509.0124095578185</c:v>
                </c:pt>
                <c:pt idx="10">
                  <c:v>3324.0658991840437</c:v>
                </c:pt>
                <c:pt idx="11">
                  <c:v>3019.7686661728617</c:v>
                </c:pt>
                <c:pt idx="12">
                  <c:v>3612.5273819908903</c:v>
                </c:pt>
                <c:pt idx="13">
                  <c:v>12791.524557368093</c:v>
                </c:pt>
                <c:pt idx="14">
                  <c:v>9437.0709382151053</c:v>
                </c:pt>
                <c:pt idx="15">
                  <c:v>11118.609956145228</c:v>
                </c:pt>
                <c:pt idx="16">
                  <c:v>8308.5147670629576</c:v>
                </c:pt>
                <c:pt idx="17">
                  <c:v>7974.0823082510942</c:v>
                </c:pt>
                <c:pt idx="18">
                  <c:v>7865.2096014718227</c:v>
                </c:pt>
                <c:pt idx="19">
                  <c:v>7823.191112479074</c:v>
                </c:pt>
                <c:pt idx="20">
                  <c:v>7155.5141160460171</c:v>
                </c:pt>
                <c:pt idx="21">
                  <c:v>4780.9568703613777</c:v>
                </c:pt>
                <c:pt idx="22">
                  <c:v>4501.8472812940308</c:v>
                </c:pt>
                <c:pt idx="23">
                  <c:v>6969.2927778181547</c:v>
                </c:pt>
                <c:pt idx="24">
                  <c:v>6463.9296277489293</c:v>
                </c:pt>
              </c:numCache>
            </c:numRef>
          </c:val>
          <c:extLst>
            <c:ext xmlns:c16="http://schemas.microsoft.com/office/drawing/2014/chart" uri="{C3380CC4-5D6E-409C-BE32-E72D297353CC}">
              <c16:uniqueId val="{00000006-062A-4494-AC9B-D90D5D888B2B}"/>
            </c:ext>
          </c:extLst>
        </c:ser>
        <c:dLbls>
          <c:showLegendKey val="0"/>
          <c:showVal val="0"/>
          <c:showCatName val="0"/>
          <c:showSerName val="0"/>
          <c:showPercent val="0"/>
          <c:showBubbleSize val="0"/>
        </c:dLbls>
        <c:gapWidth val="219"/>
        <c:overlap val="-27"/>
        <c:axId val="810168304"/>
        <c:axId val="810165424"/>
      </c:barChart>
      <c:catAx>
        <c:axId val="8101683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TZ"/>
          </a:p>
        </c:txPr>
        <c:crossAx val="810165424"/>
        <c:crosses val="autoZero"/>
        <c:auto val="1"/>
        <c:lblAlgn val="ctr"/>
        <c:lblOffset val="100"/>
        <c:noMultiLvlLbl val="0"/>
      </c:catAx>
      <c:valAx>
        <c:axId val="81016542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nl-NL"/>
                  <a:t>Millions of USD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TZ"/>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TZ"/>
          </a:p>
        </c:txPr>
        <c:crossAx val="810168304"/>
        <c:crosses val="autoZero"/>
        <c:crossBetween val="between"/>
      </c:valAx>
      <c:spPr>
        <a:blipFill dpi="0" rotWithShape="1">
          <a:blip xmlns:r="http://schemas.openxmlformats.org/officeDocument/2006/relationships" r:embed="rId3">
            <a:alphaModFix amt="14000"/>
          </a:blip>
          <a:srcRect/>
          <a:stretch>
            <a:fillRect l="20000" t="-9000" r="26000" b="5000"/>
          </a:stretch>
        </a:blipFill>
        <a:ln w="25400">
          <a:noFill/>
        </a:ln>
        <a:effectLst/>
      </c:spPr>
    </c:plotArea>
    <c:legend>
      <c:legendPos val="t"/>
      <c:layout>
        <c:manualLayout>
          <c:xMode val="edge"/>
          <c:yMode val="edge"/>
          <c:x val="0.10973635220038"/>
          <c:y val="9.0852960560546675E-2"/>
          <c:w val="0.37488218636973503"/>
          <c:h val="0.30539165423705306"/>
        </c:manualLayout>
      </c:layout>
      <c:overlay val="1"/>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TZ"/>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pattFill prst="narVert">
      <a:fgClr>
        <a:schemeClr val="bg2">
          <a:lumMod val="90000"/>
        </a:schemeClr>
      </a:fgClr>
      <a:bgClr>
        <a:schemeClr val="bg1"/>
      </a:bgClr>
    </a:pattFill>
    <a:ln w="9525" cap="flat" cmpd="sng" algn="ctr">
      <a:solidFill>
        <a:schemeClr val="tx1">
          <a:lumMod val="15000"/>
          <a:lumOff val="85000"/>
        </a:schemeClr>
      </a:solidFill>
      <a:round/>
    </a:ln>
    <a:effectLst/>
  </c:spPr>
  <c:txPr>
    <a:bodyPr/>
    <a:lstStyle/>
    <a:p>
      <a:pPr>
        <a:defRPr/>
      </a:pPr>
      <a:endParaRPr lang="en-TZ"/>
    </a:p>
  </c:txPr>
  <c:externalData r:id="rId4">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BEGARVING ARTHUR</dc:creator>
  <cp:keywords/>
  <dc:description/>
  <cp:lastModifiedBy>BEGARVING ARTHUR</cp:lastModifiedBy>
  <cp:revision>2</cp:revision>
  <dcterms:created xsi:type="dcterms:W3CDTF">2024-11-23T18:22:00Z</dcterms:created>
  <dcterms:modified xsi:type="dcterms:W3CDTF">2024-11-23T18:22:00Z</dcterms:modified>
</cp:coreProperties>
</file>