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5F5E5A"/>
          <w:sz w:val="20"/>
          <w:szCs w:val="20"/>
        </w:rPr>
        <w:t xml:space="preserve">Take Five Games</w:t>
      </w:r>
    </w:p>
    <w:p>
      <w:pPr>
        <w:spacing w:after="80"/>
      </w:pPr>
      <w:r>
        <w:rPr>
          <w:b/>
          <w:bCs/>
          <w:sz w:val="40"/>
          <w:szCs w:val="40"/>
        </w:rPr>
        <w:t xml:space="preserve">Système de saisons</w:t>
      </w:r>
    </w:p>
    <w:p>
      <w:pPr>
        <w:spacing w:after="240"/>
      </w:pPr>
      <w:r>
        <w:rPr>
          <w:color w:val="5F5E5A"/>
          <w:sz w:val="21"/>
          <w:szCs w:val="21"/>
        </w:rPr>
        <w:t xml:space="preserve">Document de design — v1 — statut : à valider</w:t>
      </w:r>
    </w:p>
    <w:p>
      <w:pPr>
        <w:pBdr>
          <w:bottom w:val="single" w:color="D3D1C7" w:sz="6"/>
        </w:pBdr>
        <w:spacing w:after="120" w:before="120"/>
      </w:pPr>
      <w:r>
        <w:rPr>
          <w:sz w:val="2"/>
          <w:szCs w:val="2"/>
        </w:rPr>
        <w:t xml:space="preserve"/>
      </w:r>
    </w:p>
    <w:p>
      <w:pPr>
        <w:pStyle w:val="Heading1"/>
        <w:spacing w:after="160" w:before="360"/>
      </w:pPr>
      <w:r>
        <w:rPr>
          <w:b/>
          <w:bCs/>
          <w:color w:val="1A1A1A"/>
          <w:sz w:val="30"/>
          <w:szCs w:val="30"/>
        </w:rPr>
        <w:t xml:space="preserve">1. Statut et portée</w:t>
      </w:r>
    </w:p>
    <w:p>
      <w:pPr>
        <w:spacing w:after="120"/>
      </w:pPr>
      <w:r>
        <w:rPr>
          <w:i w:val="false"/>
          <w:iCs w:val="false"/>
          <w:sz w:val="21"/>
          <w:szCs w:val="21"/>
        </w:rPr>
        <w:t xml:space="preserve">Ce document définit le système de progression saisonnière : ce qui est mesuré, comment les récompenses sont distribuées, et comment un classement compétitif viendra s’y ajouter plus tard sans rien retirer aux joueurs.</w:t>
      </w:r>
    </w:p>
    <w:p>
      <w:pPr>
        <w:spacing w:after="120"/>
      </w:pPr>
      <w:r>
        <w:rPr>
          <w:i w:val="false"/>
          <w:iCs w:val="false"/>
          <w:sz w:val="21"/>
          <w:szCs w:val="21"/>
        </w:rPr>
        <w:t xml:space="preserve">Il couvre le game design et les règles d’intégrité. Il ne couvre pas l’implémentation technique, qui dépend d’un choix d’infrastructure backend non arrêté à ce jour. Toutes les décisions de ce document sont conçues pour être indépendantes de ce choix.</w:t>
      </w:r>
    </w:p>
    <w:p>
      <w:pPr>
        <w:spacing w:after="120"/>
      </w:pPr>
      <w:r>
        <w:rPr>
          <w:i w:val="false"/>
          <w:iCs w:val="false"/>
          <w:sz w:val="21"/>
          <w:szCs w:val="21"/>
        </w:rPr>
        <w:t xml:space="preserve">Les valeurs chiffrées (nombre de paliers, seuils, quantités de récompenses) sont des propositions calibrées sur une intuition de la courbe de progression, pas sur des données. Elles devront être ajustées après les premiers tests. La structure, elle, est faite pour durer.</w:t>
      </w:r>
    </w:p>
    <w:p>
      <w:pPr>
        <w:pStyle w:val="Heading1"/>
        <w:spacing w:after="160" w:before="360"/>
      </w:pPr>
      <w:r>
        <w:rPr>
          <w:b/>
          <w:bCs/>
          <w:color w:val="1A1A1A"/>
          <w:sz w:val="30"/>
          <w:szCs w:val="30"/>
        </w:rPr>
        <w:t xml:space="preserve">2. Principe directeur</w:t>
      </w:r>
    </w:p>
    <w:p>
      <w:pPr>
        <w:pBdr>
          <w:left w:val="single" w:color="0F6E56" w:sz="18" w:space="12"/>
        </w:pBdr>
        <w:spacing w:after="120" w:before="120"/>
        <w:ind w:left="340"/>
      </w:pPr>
      <w:r>
        <w:rPr>
          <w:i/>
          <w:iCs/>
          <w:sz w:val="21"/>
          <w:szCs w:val="21"/>
        </w:rPr>
        <w:t xml:space="preserve">Les seuils restent, pour tout le monde, à vie. Le classement s’ajoute par-dessus et ne distribue que du prestige.</w:t>
      </w:r>
    </w:p>
    <w:p>
      <w:pPr>
        <w:spacing w:after="120"/>
      </w:pPr>
      <w:r>
        <w:rPr>
          <w:i w:val="false"/>
          <w:iCs w:val="false"/>
          <w:sz w:val="21"/>
          <w:szCs w:val="21"/>
        </w:rPr>
        <w:t xml:space="preserve">Le raisonnement est le suivant. Un classement compétitif lancé sur une population faible est contre-productif : le bas du tableau constate qu’il est dernier sur trois cents, le haut sait que sa position ne vaut rien. Les seuils, eux, fonctionnent dès le premier joueur.</w:t>
      </w:r>
    </w:p>
    <w:p>
      <w:pPr>
        <w:spacing w:after="120"/>
      </w:pPr>
      <w:r>
        <w:rPr>
          <w:i w:val="false"/>
          <w:iCs w:val="false"/>
          <w:sz w:val="21"/>
          <w:szCs w:val="21"/>
        </w:rPr>
        <w:t xml:space="preserve">Mais la bascule vers un classement est un piège si elle remplace les seuils. Un joueur qui atteignait l’étage 40 et recevait son palier découvrirait qu’il est quatre-millième et ne reçoit rien. C’est un ressenti de perte, et c’est l’un des schémas qui génèrent le plus de désengagement en jeu service.</w:t>
      </w:r>
    </w:p>
    <w:p>
      <w:pPr>
        <w:spacing w:after="120"/>
      </w:pPr>
      <w:r>
        <w:rPr>
          <w:i w:val="false"/>
          <w:iCs w:val="false"/>
          <w:sz w:val="21"/>
          <w:szCs w:val="21"/>
        </w:rPr>
        <w:t xml:space="preserve">D’où le modèle retenu : les deux coexistent en permanence. Les seuils sont la récompense de progression, accessible à tous. Le classement est un miroir de maîtrise, qui ne distribue que du symbolique. Sa mise en place devient purement additive : personne ne perd rien, et aucune refonte d’économie n’est nécessaire quand la population grandit.</w:t>
      </w:r>
    </w:p>
    <w:p>
      <w:pPr>
        <w:pStyle w:val="Heading1"/>
        <w:spacing w:after="160" w:before="360"/>
      </w:pPr>
      <w:r>
        <w:rPr>
          <w:b/>
          <w:bCs/>
          <w:color w:val="1A1A1A"/>
          <w:sz w:val="30"/>
          <w:szCs w:val="30"/>
        </w:rPr>
        <w:t xml:space="preserve">3. La métrique</w:t>
      </w:r>
    </w:p>
    <w:p>
      <w:pPr>
        <w:pStyle w:val="Heading2"/>
        <w:spacing w:after="120" w:before="240"/>
      </w:pPr>
      <w:r>
        <w:rPr>
          <w:b/>
          <w:bCs/>
          <w:color w:val="0F6E56"/>
          <w:sz w:val="24"/>
          <w:szCs w:val="24"/>
        </w:rPr>
        <w:t xml:space="preserve">3.1 Ce qui est mesuré</w:t>
      </w:r>
    </w:p>
    <w:p>
      <w:pPr>
        <w:pBdr>
          <w:left w:val="single" w:color="0F6E56" w:sz="18" w:space="12"/>
        </w:pBdr>
        <w:spacing w:after="120" w:before="120"/>
        <w:ind w:left="340"/>
      </w:pPr>
      <w:r>
        <w:rPr>
          <w:i/>
          <w:iCs/>
          <w:sz w:val="21"/>
          <w:szCs w:val="21"/>
        </w:rPr>
        <w:t xml:space="preserve">Le plus haut étage atteint dans une seule run, au cours de la saison en cours.</w:t>
      </w:r>
    </w:p>
    <w:p>
      <w:pPr>
        <w:spacing w:after="120"/>
      </w:pPr>
      <w:r>
        <w:rPr>
          <w:i w:val="false"/>
          <w:iCs w:val="false"/>
          <w:sz w:val="21"/>
          <w:szCs w:val="21"/>
        </w:rPr>
        <w:t xml:space="preserve">Une seule run. Pas un cumul. Un joueur qui atteint l’étage 40 lors de sa meilleure tentative est au même niveau qu’un joueur qui y arrive du premier coup. La métrique récompense la performance de pointe, pas le temps passé.</w:t>
      </w:r>
    </w:p>
    <w:p>
      <w:pPr>
        <w:pStyle w:val="Heading2"/>
        <w:spacing w:after="120" w:before="240"/>
      </w:pPr>
      <w:r>
        <w:rPr>
          <w:b/>
          <w:bCs/>
          <w:color w:val="0F6E56"/>
          <w:sz w:val="24"/>
          <w:szCs w:val="24"/>
        </w:rPr>
        <w:t xml:space="preserve">3.2 Contrainte technique majeure</w:t>
      </w:r>
    </w:p>
    <w:p>
      <w:pPr>
        <w:spacing w:after="120"/>
      </w:pPr>
      <w:r>
        <w:rPr>
          <w:i w:val="false"/>
          <w:iCs w:val="false"/>
          <w:sz w:val="21"/>
          <w:szCs w:val="21"/>
        </w:rPr>
        <w:t xml:space="preserve">Le projet dispose déjà de PersistentManager.UpdateBestStage(), qui maintient un record à vie, monotone croissant. Cette valeur ne peut pas servir de métrique de saison.</w:t>
      </w:r>
    </w:p>
    <w:p>
      <w:pPr>
        <w:spacing w:after="120"/>
      </w:pPr>
      <w:r>
        <w:rPr>
          <w:i w:val="false"/>
          <w:iCs w:val="false"/>
          <w:sz w:val="21"/>
          <w:szCs w:val="21"/>
        </w:rPr>
        <w:t xml:space="preserve">Un joueur ayant atteint l’étage 60 en saison 1 démarrerait la saison 2 avec le palier maximal déjà validé, sans avoir joué. Il faut donc deux compteurs distincts :</w:t>
      </w:r>
    </w:p>
    <w:p>
      <w:pPr>
        <w:shd w:fill="F1EFE8" w:val="clear"/>
        <w:spacing w:after="120" w:before="60"/>
      </w:pPr>
      <w:r>
        <w:rPr>
          <w:rFonts w:ascii="Consolas" w:cs="Consolas" w:eastAsia="Consolas" w:hAnsi="Consolas"/>
          <w:sz w:val="19"/>
          <w:szCs w:val="19"/>
        </w:rPr>
        <w:t xml:space="preserve">bestStage             // record à vie, existant, inchangé</w:t>
      </w:r>
    </w:p>
    <w:p>
      <w:pPr>
        <w:shd w:fill="F1EFE8" w:val="clear"/>
        <w:spacing w:after="120" w:before="60"/>
      </w:pPr>
      <w:r>
        <w:rPr>
          <w:rFonts w:ascii="Consolas" w:cs="Consolas" w:eastAsia="Consolas" w:hAnsi="Consolas"/>
          <w:sz w:val="19"/>
          <w:szCs w:val="19"/>
        </w:rPr>
        <w:t xml:space="preserve">bestStageThisSeason   // nouveau, remis à zéro à chaque saison</w:t>
      </w:r>
    </w:p>
    <w:p>
      <w:pPr>
        <w:spacing w:after="120"/>
      </w:pPr>
      <w:r>
        <w:rPr>
          <w:i w:val="false"/>
          <w:iCs w:val="false"/>
          <w:sz w:val="21"/>
          <w:szCs w:val="21"/>
        </w:rPr>
        <w:t xml:space="preserve">Le record à vie continue d’exister et de s’afficher — c’est une fierté personnelle. Il n’a simplement aucun effet sur les récompenses de saison.</w:t>
      </w:r>
    </w:p>
    <w:p>
      <w:pPr>
        <w:pStyle w:val="Heading2"/>
        <w:spacing w:after="120" w:before="240"/>
      </w:pPr>
      <w:r>
        <w:rPr>
          <w:b/>
          <w:bCs/>
          <w:color w:val="0F6E56"/>
          <w:sz w:val="24"/>
          <w:szCs w:val="24"/>
        </w:rPr>
        <w:t xml:space="preserve">3.3 Périmètre de la métrique</w:t>
      </w:r>
    </w:p>
    <w:p>
      <w:pPr>
        <w:pStyle w:val="ListParagraph"/>
        <w:numPr>
          <w:ilvl w:val="0"/>
          <w:numId w:val="2"/>
        </w:numPr>
        <w:spacing w:after="60"/>
      </w:pPr>
      <w:r>
        <w:rPr>
          <w:sz w:val="21"/>
          <w:szCs w:val="21"/>
        </w:rPr>
        <w:t xml:space="preserve">Le Boss Rush est EXCLU. C’est un mode distinct, avec sa propre structure de difficulté. Mélanger les deux rendrait le nombre illisible et le comparatif injuste.</w:t>
      </w:r>
    </w:p>
    <w:p>
      <w:pPr>
        <w:pStyle w:val="ListParagraph"/>
        <w:numPr>
          <w:ilvl w:val="0"/>
          <w:numId w:val="2"/>
        </w:numPr>
        <w:spacing w:after="60"/>
      </w:pPr>
      <w:r>
        <w:rPr>
          <w:sz w:val="21"/>
          <w:szCs w:val="21"/>
        </w:rPr>
        <w:t xml:space="preserve">L’étage compté est le compteur continu de run, tel qu’il existe déjà dans RunManager. Il ne se réinitialise pas au passage d’univers.</w:t>
      </w:r>
    </w:p>
    <w:p>
      <w:pPr>
        <w:pStyle w:val="ListParagraph"/>
        <w:numPr>
          <w:ilvl w:val="0"/>
          <w:numId w:val="2"/>
        </w:numPr>
        <w:spacing w:after="60"/>
      </w:pPr>
      <w:r>
        <w:rPr>
          <w:sz w:val="21"/>
          <w:szCs w:val="21"/>
        </w:rPr>
        <w:t xml:space="preserve">Une run abandonnée volontairement compte pour l’étage atteint au moment de l’abandon.</w:t>
      </w:r>
    </w:p>
    <w:p>
      <w:pPr>
        <w:pStyle w:val="ListParagraph"/>
        <w:numPr>
          <w:ilvl w:val="0"/>
          <w:numId w:val="2"/>
        </w:numPr>
        <w:spacing w:after="60"/>
      </w:pPr>
      <w:r>
        <w:rPr>
          <w:sz w:val="21"/>
          <w:szCs w:val="21"/>
        </w:rPr>
        <w:t xml:space="preserve">Les runs de développement ou de debug ne doivent jamais alimenter la métrique. Un garde explicite est nécessaire.</w:t>
      </w:r>
    </w:p>
    <w:p>
      <w:r>
        <w:br w:type="page"/>
      </w:r>
    </w:p>
    <w:p>
      <w:pPr>
        <w:pStyle w:val="Heading1"/>
        <w:spacing w:after="160" w:before="360"/>
      </w:pPr>
      <w:r>
        <w:rPr>
          <w:b/>
          <w:bCs/>
          <w:color w:val="1A1A1A"/>
          <w:sz w:val="30"/>
          <w:szCs w:val="30"/>
        </w:rPr>
        <w:t xml:space="preserve">4. Structure de saison</w:t>
      </w:r>
    </w:p>
    <w:p>
      <w:pPr>
        <w:pStyle w:val="Heading2"/>
        <w:spacing w:after="120" w:before="240"/>
      </w:pPr>
      <w:r>
        <w:rPr>
          <w:b/>
          <w:bCs/>
          <w:color w:val="0F6E56"/>
          <w:sz w:val="24"/>
          <w:szCs w:val="24"/>
        </w:rPr>
        <w:t xml:space="preserve">4.1 Durée</w:t>
      </w:r>
    </w:p>
    <w:p>
      <w:pPr>
        <w:spacing w:after="120"/>
      </w:pPr>
      <w:r>
        <w:rPr>
          <w:i w:val="false"/>
          <w:iCs w:val="false"/>
          <w:sz w:val="21"/>
          <w:szCs w:val="21"/>
        </w:rPr>
        <w:t xml:space="preserve">Recommandation : six semaines.</w:t>
      </w:r>
    </w:p>
    <w:p>
      <w:pPr>
        <w:spacing w:after="120"/>
      </w:pPr>
      <w:r>
        <w:rPr>
          <w:i w:val="false"/>
          <w:iCs w:val="false"/>
          <w:sz w:val="21"/>
          <w:szCs w:val="21"/>
        </w:rPr>
        <w:t xml:space="preserve">Quatre semaines impose un rythme de production de récompenses trop soutenu pour un développeur solo. Au-delà de huit, le joueur qui a atteint son plafond décroche en milieu de saison. Six semaines laisse à un joueur occasionnel le temps d’atteindre les paliers intermédiaires, tout en conservant un caractère événementiel.</w:t>
      </w:r>
    </w:p>
    <w:p>
      <w:pPr>
        <w:pStyle w:val="Heading2"/>
        <w:spacing w:after="120" w:before="240"/>
      </w:pPr>
      <w:r>
        <w:rPr>
          <w:b/>
          <w:bCs/>
          <w:color w:val="0F6E56"/>
          <w:sz w:val="24"/>
          <w:szCs w:val="24"/>
        </w:rPr>
        <w:t xml:space="preserve">4.2 Ce qui est remis à zéro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E1F5EE" w:val="clear"/>
            <w:tcMar>
              <w:top w:type="dxa" w:w="80"/>
              <w:left w:type="dxa" w:w="120"/>
              <w:bottom w:type="dxa" w:w="80"/>
              <w:right w:type="dxa" w:w="120"/>
            </w:tcMar>
          </w:tcPr>
          <w:p>
            <w:pPr>
              <w:jc w:val="left"/>
            </w:pPr>
            <w:r>
              <w:rPr>
                <w:b/>
                <w:bCs/>
                <w:sz w:val="19"/>
                <w:szCs w:val="19"/>
              </w:rPr>
              <w:t xml:space="preserve">Donnée</w:t>
            </w:r>
          </w:p>
        </w:tc>
        <w:tc>
          <w:tcPr>
            <w:tcW w:type="dxa" w:w="2400"/>
            <w:shd w:fill="E1F5EE" w:val="clear"/>
            <w:tcMar>
              <w:top w:type="dxa" w:w="80"/>
              <w:left w:type="dxa" w:w="120"/>
              <w:bottom w:type="dxa" w:w="80"/>
              <w:right w:type="dxa" w:w="120"/>
            </w:tcMar>
          </w:tcPr>
          <w:p>
            <w:pPr>
              <w:jc w:val="center"/>
            </w:pPr>
            <w:r>
              <w:rPr>
                <w:b/>
                <w:bCs/>
                <w:sz w:val="19"/>
                <w:szCs w:val="19"/>
              </w:rPr>
              <w:t xml:space="preserve">À la fin de saison</w:t>
            </w:r>
          </w:p>
        </w:tc>
        <w:tc>
          <w:tcPr>
            <w:tcW w:type="dxa" w:w="2760"/>
            <w:shd w:fill="E1F5EE" w:val="clear"/>
            <w:tcMar>
              <w:top w:type="dxa" w:w="80"/>
              <w:left w:type="dxa" w:w="120"/>
              <w:bottom w:type="dxa" w:w="80"/>
              <w:right w:type="dxa" w:w="120"/>
            </w:tcMar>
          </w:tcPr>
          <w:p>
            <w:pPr>
              <w:jc w:val="left"/>
            </w:pPr>
            <w:r>
              <w:rPr>
                <w:b/>
                <w:bCs/>
                <w:sz w:val="19"/>
                <w:szCs w:val="19"/>
              </w:rPr>
              <w:t xml:space="preserve">Note</w:t>
            </w:r>
          </w:p>
        </w:tc>
      </w:tr>
      <w:tr>
        <w:tc>
          <w:tcPr>
            <w:tcW w:type="dxa" w:w="4200"/>
            <w:tcMar>
              <w:top w:type="dxa" w:w="80"/>
              <w:left w:type="dxa" w:w="120"/>
              <w:bottom w:type="dxa" w:w="80"/>
              <w:right w:type="dxa" w:w="120"/>
            </w:tcMar>
          </w:tcPr>
          <w:p>
            <w:pPr>
              <w:jc w:val="left"/>
            </w:pPr>
            <w:r>
              <w:rPr>
                <w:b w:val="false"/>
                <w:bCs w:val="false"/>
                <w:sz w:val="19"/>
                <w:szCs w:val="19"/>
              </w:rPr>
              <w:t xml:space="preserve">Meilleur étage de la saison</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REMIS À ZÉRO</w:t>
            </w:r>
          </w:p>
        </w:tc>
        <w:tc>
          <w:tcPr>
            <w:tcW w:type="dxa" w:w="2760"/>
            <w:tcMar>
              <w:top w:type="dxa" w:w="80"/>
              <w:left w:type="dxa" w:w="120"/>
              <w:bottom w:type="dxa" w:w="80"/>
              <w:right w:type="dxa" w:w="120"/>
            </w:tcMar>
          </w:tcPr>
          <w:p>
            <w:pPr>
              <w:jc w:val="left"/>
            </w:pPr>
            <w:r>
              <w:rPr>
                <w:b w:val="false"/>
                <w:bCs w:val="false"/>
                <w:sz w:val="19"/>
                <w:szCs w:val="19"/>
              </w:rPr>
              <w:t xml:space="preserve">Métrique de la saison</w:t>
            </w:r>
          </w:p>
        </w:tc>
      </w:tr>
      <w:tr>
        <w:tc>
          <w:tcPr>
            <w:tcW w:type="dxa" w:w="4200"/>
            <w:shd w:fill="F6F5F2" w:val="clear"/>
            <w:tcMar>
              <w:top w:type="dxa" w:w="80"/>
              <w:left w:type="dxa" w:w="120"/>
              <w:bottom w:type="dxa" w:w="80"/>
              <w:right w:type="dxa" w:w="120"/>
            </w:tcMar>
          </w:tcPr>
          <w:p>
            <w:pPr>
              <w:jc w:val="left"/>
            </w:pPr>
            <w:r>
              <w:rPr>
                <w:b w:val="false"/>
                <w:bCs w:val="false"/>
                <w:sz w:val="19"/>
                <w:szCs w:val="19"/>
              </w:rPr>
              <w:t xml:space="preserve">Paliers réclamés</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REMIS À ZÉRO</w:t>
            </w:r>
          </w:p>
        </w:tc>
        <w:tc>
          <w:tcPr>
            <w:tcW w:type="dxa" w:w="2760"/>
            <w:shd w:fill="F6F5F2" w:val="clear"/>
            <w:tcMar>
              <w:top w:type="dxa" w:w="80"/>
              <w:left w:type="dxa" w:w="120"/>
              <w:bottom w:type="dxa" w:w="80"/>
              <w:right w:type="dxa" w:w="120"/>
            </w:tcMar>
          </w:tcPr>
          <w:p>
            <w:pPr>
              <w:jc w:val="left"/>
            </w:pPr>
            <w:r>
              <w:rPr>
                <w:b w:val="false"/>
                <w:bCs w:val="false"/>
                <w:sz w:val="19"/>
                <w:szCs w:val="19"/>
              </w:rPr>
              <w:t xml:space="preserve">Nouvelle piste de récompenses</w:t>
            </w:r>
          </w:p>
        </w:tc>
      </w:tr>
      <w:tr>
        <w:tc>
          <w:tcPr>
            <w:tcW w:type="dxa" w:w="4200"/>
            <w:tcMar>
              <w:top w:type="dxa" w:w="80"/>
              <w:left w:type="dxa" w:w="120"/>
              <w:bottom w:type="dxa" w:w="80"/>
              <w:right w:type="dxa" w:w="120"/>
            </w:tcMar>
          </w:tcPr>
          <w:p>
            <w:pPr>
              <w:jc w:val="left"/>
            </w:pPr>
            <w:r>
              <w:rPr>
                <w:b w:val="false"/>
                <w:bCs w:val="false"/>
                <w:sz w:val="19"/>
                <w:szCs w:val="19"/>
              </w:rPr>
              <w:t xml:space="preserve">Compteur de paliers de prestige</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REMIS À ZÉRO</w:t>
            </w:r>
          </w:p>
        </w:tc>
        <w:tc>
          <w:tcPr>
            <w:tcW w:type="dxa" w:w="2760"/>
            <w:tcMar>
              <w:top w:type="dxa" w:w="80"/>
              <w:left w:type="dxa" w:w="120"/>
              <w:bottom w:type="dxa" w:w="80"/>
              <w:right w:type="dxa" w:w="120"/>
            </w:tcMar>
          </w:tcPr>
          <w:p>
            <w:pPr>
              <w:jc w:val="left"/>
            </w:pPr>
            <w:r>
              <w:rPr>
                <w:b w:val="false"/>
                <w:bCs w:val="false"/>
                <w:sz w:val="19"/>
                <w:szCs w:val="19"/>
              </w:rPr>
              <w:t xml:space="preserve"/>
            </w:r>
          </w:p>
        </w:tc>
      </w:tr>
      <w:tr>
        <w:tc>
          <w:tcPr>
            <w:tcW w:type="dxa" w:w="4200"/>
            <w:shd w:fill="F6F5F2" w:val="clear"/>
            <w:tcMar>
              <w:top w:type="dxa" w:w="80"/>
              <w:left w:type="dxa" w:w="120"/>
              <w:bottom w:type="dxa" w:w="80"/>
              <w:right w:type="dxa" w:w="120"/>
            </w:tcMar>
          </w:tcPr>
          <w:p>
            <w:pPr>
              <w:jc w:val="left"/>
            </w:pPr>
            <w:r>
              <w:rPr>
                <w:b w:val="false"/>
                <w:bCs w:val="false"/>
                <w:sz w:val="19"/>
                <w:szCs w:val="19"/>
              </w:rPr>
              <w:t xml:space="preserve">Meilleur étage à vie</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w:t>
            </w:r>
          </w:p>
        </w:tc>
        <w:tc>
          <w:tcPr>
            <w:tcW w:type="dxa" w:w="2760"/>
            <w:shd w:fill="F6F5F2" w:val="clear"/>
            <w:tcMar>
              <w:top w:type="dxa" w:w="80"/>
              <w:left w:type="dxa" w:w="120"/>
              <w:bottom w:type="dxa" w:w="80"/>
              <w:right w:type="dxa" w:w="120"/>
            </w:tcMar>
          </w:tcPr>
          <w:p>
            <w:pPr>
              <w:jc w:val="left"/>
            </w:pPr>
            <w:r>
              <w:rPr>
                <w:b w:val="false"/>
                <w:bCs w:val="false"/>
                <w:sz w:val="19"/>
                <w:szCs w:val="19"/>
              </w:rPr>
              <w:t xml:space="preserve">Record personnel, indépendant des saisons</w:t>
            </w:r>
          </w:p>
        </w:tc>
      </w:tr>
      <w:tr>
        <w:tc>
          <w:tcPr>
            <w:tcW w:type="dxa" w:w="4200"/>
            <w:tcMar>
              <w:top w:type="dxa" w:w="80"/>
              <w:left w:type="dxa" w:w="120"/>
              <w:bottom w:type="dxa" w:w="80"/>
              <w:right w:type="dxa" w:w="120"/>
            </w:tcMar>
          </w:tcPr>
          <w:p>
            <w:pPr>
              <w:jc w:val="left"/>
            </w:pPr>
            <w:r>
              <w:rPr>
                <w:b w:val="false"/>
                <w:bCs w:val="false"/>
                <w:sz w:val="19"/>
                <w:szCs w:val="19"/>
              </w:rPr>
              <w:t xml:space="preserve">Tals</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2760"/>
            <w:tcMar>
              <w:top w:type="dxa" w:w="80"/>
              <w:left w:type="dxa" w:w="120"/>
              <w:bottom w:type="dxa" w:w="80"/>
              <w:right w:type="dxa" w:w="120"/>
            </w:tcMar>
          </w:tcPr>
          <w:p>
            <w:pPr>
              <w:jc w:val="left"/>
            </w:pPr>
            <w:r>
              <w:rPr>
                <w:b w:val="false"/>
                <w:bCs w:val="false"/>
                <w:sz w:val="19"/>
                <w:szCs w:val="19"/>
              </w:rPr>
              <w:t xml:space="preserve">Monnaie persistante</w:t>
            </w:r>
          </w:p>
        </w:tc>
      </w:tr>
      <w:tr>
        <w:tc>
          <w:tcPr>
            <w:tcW w:type="dxa" w:w="4200"/>
            <w:shd w:fill="F6F5F2" w:val="clear"/>
            <w:tcMar>
              <w:top w:type="dxa" w:w="80"/>
              <w:left w:type="dxa" w:w="120"/>
              <w:bottom w:type="dxa" w:w="80"/>
              <w:right w:type="dxa" w:w="120"/>
            </w:tcMar>
          </w:tcPr>
          <w:p>
            <w:pPr>
              <w:jc w:val="left"/>
            </w:pPr>
            <w:r>
              <w:rPr>
                <w:b w:val="false"/>
                <w:bCs w:val="false"/>
                <w:sz w:val="19"/>
                <w:szCs w:val="19"/>
              </w:rPr>
              <w:t xml:space="preserve">Personnages possédés et niveaux</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2760"/>
            <w:shd w:fill="F6F5F2" w:val="clear"/>
            <w:tcMar>
              <w:top w:type="dxa" w:w="80"/>
              <w:left w:type="dxa" w:w="120"/>
              <w:bottom w:type="dxa" w:w="80"/>
              <w:right w:type="dxa" w:w="120"/>
            </w:tcMar>
          </w:tcPr>
          <w:p>
            <w:pPr>
              <w:jc w:val="left"/>
            </w:pPr>
            <w:r>
              <w:rPr>
                <w:b w:val="false"/>
                <w:bCs w:val="false"/>
                <w:sz w:val="19"/>
                <w:szCs w:val="19"/>
              </w:rPr>
              <w:t xml:space="preserve"/>
            </w:r>
          </w:p>
        </w:tc>
      </w:tr>
      <w:tr>
        <w:tc>
          <w:tcPr>
            <w:tcW w:type="dxa" w:w="4200"/>
            <w:tcMar>
              <w:top w:type="dxa" w:w="80"/>
              <w:left w:type="dxa" w:w="120"/>
              <w:bottom w:type="dxa" w:w="80"/>
              <w:right w:type="dxa" w:w="120"/>
            </w:tcMar>
          </w:tcPr>
          <w:p>
            <w:pPr>
              <w:jc w:val="left"/>
            </w:pPr>
            <w:r>
              <w:rPr>
                <w:b w:val="false"/>
                <w:bCs w:val="false"/>
                <w:sz w:val="19"/>
                <w:szCs w:val="19"/>
              </w:rPr>
              <w:t xml:space="preserve">Progression d’éveil des SSR</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CONSERVÉE</w:t>
            </w:r>
          </w:p>
        </w:tc>
        <w:tc>
          <w:tcPr>
            <w:tcW w:type="dxa" w:w="2760"/>
            <w:tcMar>
              <w:top w:type="dxa" w:w="80"/>
              <w:left w:type="dxa" w:w="120"/>
              <w:bottom w:type="dxa" w:w="80"/>
              <w:right w:type="dxa" w:w="120"/>
            </w:tcMar>
          </w:tcPr>
          <w:p>
            <w:pPr>
              <w:jc w:val="left"/>
            </w:pPr>
            <w:r>
              <w:rPr>
                <w:b w:val="false"/>
                <w:bCs w:val="false"/>
                <w:sz w:val="19"/>
                <w:szCs w:val="19"/>
              </w:rPr>
              <w:t xml:space="preserve"/>
            </w:r>
          </w:p>
        </w:tc>
      </w:tr>
      <w:tr>
        <w:tc>
          <w:tcPr>
            <w:tcW w:type="dxa" w:w="4200"/>
            <w:shd w:fill="F6F5F2" w:val="clear"/>
            <w:tcMar>
              <w:top w:type="dxa" w:w="80"/>
              <w:left w:type="dxa" w:w="120"/>
              <w:bottom w:type="dxa" w:w="80"/>
              <w:right w:type="dxa" w:w="120"/>
            </w:tcMar>
          </w:tcPr>
          <w:p>
            <w:pPr>
              <w:jc w:val="left"/>
            </w:pPr>
            <w:r>
              <w:rPr>
                <w:b w:val="false"/>
                <w:bCs w:val="false"/>
                <w:sz w:val="19"/>
                <w:szCs w:val="19"/>
              </w:rPr>
              <w:t xml:space="preserve">Cosmétiques obtenus</w:t>
            </w:r>
          </w:p>
        </w:tc>
        <w:tc>
          <w:tcPr>
            <w:tcW w:type="dxa" w:w="2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CONSERVÉS</w:t>
            </w:r>
          </w:p>
        </w:tc>
        <w:tc>
          <w:tcPr>
            <w:tcW w:type="dxa" w:w="2760"/>
            <w:shd w:fill="F6F5F2" w:val="clear"/>
            <w:tcMar>
              <w:top w:type="dxa" w:w="80"/>
              <w:left w:type="dxa" w:w="120"/>
              <w:bottom w:type="dxa" w:w="80"/>
              <w:right w:type="dxa" w:w="120"/>
            </w:tcMar>
          </w:tcPr>
          <w:p>
            <w:pPr>
              <w:jc w:val="left"/>
            </w:pPr>
            <w:r>
              <w:rPr>
                <w:b w:val="false"/>
                <w:bCs w:val="false"/>
                <w:sz w:val="19"/>
                <w:szCs w:val="19"/>
              </w:rPr>
              <w:t xml:space="preserve">Y compris ceux des saisons passées</w:t>
            </w:r>
          </w:p>
        </w:tc>
      </w:tr>
      <w:tr>
        <w:tc>
          <w:tcPr>
            <w:tcW w:type="dxa" w:w="4200"/>
            <w:tcMar>
              <w:top w:type="dxa" w:w="80"/>
              <w:left w:type="dxa" w:w="120"/>
              <w:bottom w:type="dxa" w:w="80"/>
              <w:right w:type="dxa" w:w="120"/>
            </w:tcMar>
          </w:tcPr>
          <w:p>
            <w:pPr>
              <w:jc w:val="left"/>
            </w:pPr>
            <w:r>
              <w:rPr>
                <w:b w:val="false"/>
                <w:bCs w:val="false"/>
                <w:sz w:val="19"/>
                <w:szCs w:val="19"/>
              </w:rPr>
              <w:t xml:space="preserve">Boss Rush</w:t>
            </w:r>
          </w:p>
        </w:tc>
        <w:tc>
          <w:tcPr>
            <w:tcW w:type="dxa" w:w="2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CONSERVÉ</w:t>
            </w:r>
          </w:p>
        </w:tc>
        <w:tc>
          <w:tcPr>
            <w:tcW w:type="dxa" w:w="2760"/>
            <w:tcMar>
              <w:top w:type="dxa" w:w="80"/>
              <w:left w:type="dxa" w:w="120"/>
              <w:bottom w:type="dxa" w:w="80"/>
              <w:right w:type="dxa" w:w="120"/>
            </w:tcMar>
          </w:tcPr>
          <w:p>
            <w:pPr>
              <w:jc w:val="left"/>
            </w:pPr>
            <w:r>
              <w:rPr>
                <w:b w:val="false"/>
                <w:bCs w:val="false"/>
                <w:sz w:val="19"/>
                <w:szCs w:val="19"/>
              </w:rPr>
              <w:t xml:space="preserve">Mode distinct, hors métrique de saison</w:t>
            </w:r>
          </w:p>
        </w:tc>
      </w:tr>
    </w:tbl>
    <w:p>
      <w:pPr>
        <w:spacing w:after="120"/>
      </w:pPr>
      <w:r>
        <w:rPr>
          <w:i w:val="false"/>
          <w:iCs w:val="false"/>
          <w:sz w:val="21"/>
          <w:szCs w:val="21"/>
        </w:rPr>
        <w:t xml:space="preserve"/>
      </w:r>
    </w:p>
    <w:p>
      <w:pPr>
        <w:pStyle w:val="Heading2"/>
        <w:spacing w:after="120" w:before="240"/>
      </w:pPr>
      <w:r>
        <w:rPr>
          <w:b/>
          <w:bCs/>
          <w:color w:val="0F6E56"/>
          <w:sz w:val="24"/>
          <w:szCs w:val="24"/>
        </w:rPr>
        <w:t xml:space="preserve">4.3 Bornes temporelles</w:t>
      </w:r>
    </w:p>
    <w:p>
      <w:pPr>
        <w:spacing w:after="120"/>
      </w:pPr>
      <w:r>
        <w:rPr>
          <w:i w:val="false"/>
          <w:iCs w:val="false"/>
          <w:sz w:val="21"/>
          <w:szCs w:val="21"/>
        </w:rPr>
        <w:t xml:space="preserve">Le début et la fin de saison sont déterminés par le temps serveur, jamais par l’horloge de l’appareil. Ce point est développé en section 8 ; il est structurant et ne peut pas être repoussé.</w:t>
      </w:r>
    </w:p>
    <w:p>
      <w:pPr>
        <w:pStyle w:val="Heading1"/>
        <w:spacing w:after="160" w:before="360"/>
      </w:pPr>
      <w:r>
        <w:rPr>
          <w:b/>
          <w:bCs/>
          <w:color w:val="1A1A1A"/>
          <w:sz w:val="30"/>
          <w:szCs w:val="30"/>
        </w:rPr>
        <w:t xml:space="preserve">5. Les paliers</w:t>
      </w:r>
    </w:p>
    <w:p>
      <w:pPr>
        <w:pStyle w:val="Heading2"/>
        <w:spacing w:after="120" w:before="240"/>
      </w:pPr>
      <w:r>
        <w:rPr>
          <w:b/>
          <w:bCs/>
          <w:color w:val="0F6E56"/>
          <w:sz w:val="24"/>
          <w:szCs w:val="24"/>
        </w:rPr>
        <w:t xml:space="preserve">5.1 Philosophie</w:t>
      </w:r>
    </w:p>
    <w:p>
      <w:pPr>
        <w:spacing w:after="120"/>
      </w:pPr>
      <w:r>
        <w:rPr>
          <w:i w:val="false"/>
          <w:iCs w:val="false"/>
          <w:sz w:val="21"/>
          <w:szCs w:val="21"/>
        </w:rPr>
        <w:t xml:space="preserve">Trois règles, dans cet ordre de priorité :</w:t>
      </w:r>
    </w:p>
    <w:p>
      <w:pPr>
        <w:pStyle w:val="ListParagraph"/>
        <w:numPr>
          <w:ilvl w:val="0"/>
          <w:numId w:val="3"/>
        </w:numPr>
        <w:spacing w:after="60"/>
      </w:pPr>
      <w:r>
        <w:rPr>
          <w:sz w:val="21"/>
          <w:szCs w:val="21"/>
        </w:rPr>
        <w:t xml:space="preserve">Le premier palier doit être atteignable dès la première session. Un joueur qui termine sa première partie sans avoir rien réclamé n’a aucune raison de revenir.</w:t>
      </w:r>
    </w:p>
    <w:p>
      <w:pPr>
        <w:pStyle w:val="ListParagraph"/>
        <w:numPr>
          <w:ilvl w:val="0"/>
          <w:numId w:val="3"/>
        </w:numPr>
        <w:spacing w:after="60"/>
      </w:pPr>
      <w:r>
        <w:rPr>
          <w:sz w:val="21"/>
          <w:szCs w:val="21"/>
        </w:rPr>
        <w:t xml:space="preserve">L’espacement est croissant. Dense en bas, où se trouve la majorité des joueurs, et où chaque palier franchi entretient l’élan. Large en haut, où le palier devient un objectif et non une étape.</w:t>
      </w:r>
    </w:p>
    <w:p>
      <w:pPr>
        <w:pStyle w:val="ListParagraph"/>
        <w:numPr>
          <w:ilvl w:val="0"/>
          <w:numId w:val="3"/>
        </w:numPr>
        <w:spacing w:after="60"/>
      </w:pPr>
      <w:r>
        <w:rPr>
          <w:sz w:val="21"/>
          <w:szCs w:val="21"/>
        </w:rPr>
        <w:t xml:space="preserve">L’écart avec le palier suivant est toujours visible. C’est le seul chiffre qui motive réellement : « il me manque quatre étages » est actionnable, « je suis au palier 6 » ne l’est pas.</w:t>
      </w:r>
    </w:p>
    <w:p>
      <w:pPr>
        <w:pStyle w:val="Heading2"/>
        <w:spacing w:after="120" w:before="240"/>
      </w:pPr>
      <w:r>
        <w:rPr>
          <w:b/>
          <w:bCs/>
          <w:color w:val="0F6E56"/>
          <w:sz w:val="24"/>
          <w:szCs w:val="24"/>
        </w:rPr>
        <w:t xml:space="preserve">5.2 Grille proposée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400"/>
        <w:gridCol w:w="4260"/>
      </w:tblGrid>
      <w:tr>
        <w:trPr>
          <w:tblHeader/>
        </w:trPr>
        <w:tc>
          <w:tcPr>
            <w:tcW w:type="dxa" w:w="1100"/>
            <w:shd w:fill="E1F5EE" w:val="clear"/>
            <w:tcMar>
              <w:top w:type="dxa" w:w="80"/>
              <w:left w:type="dxa" w:w="120"/>
              <w:bottom w:type="dxa" w:w="80"/>
              <w:right w:type="dxa" w:w="120"/>
            </w:tcMar>
          </w:tcPr>
          <w:p>
            <w:pPr>
              <w:jc w:val="left"/>
            </w:pPr>
            <w:r>
              <w:rPr>
                <w:b/>
                <w:bCs/>
                <w:sz w:val="19"/>
                <w:szCs w:val="19"/>
              </w:rPr>
              <w:t xml:space="preserve">Palier</w:t>
            </w:r>
          </w:p>
        </w:tc>
        <w:tc>
          <w:tcPr>
            <w:tcW w:type="dxa" w:w="2600"/>
            <w:shd w:fill="E1F5EE" w:val="clear"/>
            <w:tcMar>
              <w:top w:type="dxa" w:w="80"/>
              <w:left w:type="dxa" w:w="120"/>
              <w:bottom w:type="dxa" w:w="80"/>
              <w:right w:type="dxa" w:w="120"/>
            </w:tcMar>
          </w:tcPr>
          <w:p>
            <w:pPr>
              <w:jc w:val="center"/>
            </w:pPr>
            <w:r>
              <w:rPr>
                <w:b/>
                <w:bCs/>
                <w:sz w:val="19"/>
                <w:szCs w:val="19"/>
              </w:rPr>
              <w:t xml:space="preserve">Étage requis</w:t>
            </w:r>
          </w:p>
        </w:tc>
        <w:tc>
          <w:tcPr>
            <w:tcW w:type="dxa" w:w="1400"/>
            <w:shd w:fill="E1F5EE" w:val="clear"/>
            <w:tcMar>
              <w:top w:type="dxa" w:w="80"/>
              <w:left w:type="dxa" w:w="120"/>
              <w:bottom w:type="dxa" w:w="80"/>
              <w:right w:type="dxa" w:w="120"/>
            </w:tcMar>
          </w:tcPr>
          <w:p>
            <w:pPr>
              <w:jc w:val="center"/>
            </w:pPr>
            <w:r>
              <w:rPr>
                <w:b/>
                <w:bCs/>
                <w:sz w:val="19"/>
                <w:szCs w:val="19"/>
              </w:rPr>
              <w:t xml:space="preserve">Écart</w:t>
            </w:r>
          </w:p>
        </w:tc>
        <w:tc>
          <w:tcPr>
            <w:tcW w:type="dxa" w:w="4260"/>
            <w:shd w:fill="E1F5EE" w:val="clear"/>
            <w:tcMar>
              <w:top w:type="dxa" w:w="80"/>
              <w:left w:type="dxa" w:w="120"/>
              <w:bottom w:type="dxa" w:w="80"/>
              <w:right w:type="dxa" w:w="120"/>
            </w:tcMar>
          </w:tcPr>
          <w:p>
            <w:pPr>
              <w:jc w:val="left"/>
            </w:pPr>
            <w:r>
              <w:rPr>
                <w:b/>
                <w:bCs/>
                <w:sz w:val="19"/>
                <w:szCs w:val="19"/>
              </w:rPr>
              <w:t xml:space="preserve">Note</w:t>
            </w:r>
          </w:p>
        </w:tc>
      </w:tr>
      <w:tr>
        <w:tc>
          <w:tcPr>
            <w:tcW w:type="dxa" w:w="1100"/>
            <w:tcMar>
              <w:top w:type="dxa" w:w="80"/>
              <w:left w:type="dxa" w:w="120"/>
              <w:bottom w:type="dxa" w:w="80"/>
              <w:right w:type="dxa" w:w="120"/>
            </w:tcMar>
          </w:tcPr>
          <w:p>
            <w:pPr>
              <w:jc w:val="left"/>
            </w:pPr>
            <w:r>
              <w:rPr>
                <w:b w:val="false"/>
                <w:bCs w:val="false"/>
                <w:sz w:val="19"/>
                <w:szCs w:val="19"/>
              </w:rPr>
              <w:t xml:space="preserve">1</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3</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+3</w:t>
            </w:r>
          </w:p>
        </w:tc>
        <w:tc>
          <w:tcPr>
            <w:tcW w:type="dxa" w:w="4260"/>
            <w:tcMar>
              <w:top w:type="dxa" w:w="80"/>
              <w:left w:type="dxa" w:w="120"/>
              <w:bottom w:type="dxa" w:w="80"/>
              <w:right w:type="dxa" w:w="120"/>
            </w:tcMar>
          </w:tcPr>
          <w:p>
            <w:pPr>
              <w:jc w:val="left"/>
            </w:pPr>
            <w:r>
              <w:rPr>
                <w:b w:val="false"/>
                <w:bCs w:val="false"/>
                <w:sz w:val="19"/>
                <w:szCs w:val="19"/>
              </w:rPr>
              <w:t xml:space="preserve">Atteint en première session — obligatoire</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2</w:t>
            </w:r>
          </w:p>
        </w:tc>
        <w:tc>
          <w:tcPr>
            <w:tcW w:type="dxa" w:w="2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6</w:t>
            </w:r>
          </w:p>
        </w:tc>
        <w:tc>
          <w:tcPr>
            <w:tcW w:type="dxa" w:w="1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+3</w:t>
            </w:r>
          </w:p>
        </w:tc>
        <w:tc>
          <w:tcPr>
            <w:tcW w:type="dxa" w:w="4260"/>
            <w:shd w:fill="F6F5F2" w:val="clear"/>
            <w:tcMar>
              <w:top w:type="dxa" w:w="80"/>
              <w:left w:type="dxa" w:w="120"/>
              <w:bottom w:type="dxa" w:w="80"/>
              <w:right w:type="dxa" w:w="120"/>
            </w:tcMar>
          </w:tcPr>
          <w:p>
            <w:pPr>
              <w:jc w:val="left"/>
            </w:pPr>
            <w:r>
              <w:rPr>
                <w:b w:val="false"/>
                <w:bCs w:val="false"/>
                <w:sz w:val="19"/>
                <w:szCs w:val="19"/>
              </w:rPr>
              <w:t xml:space="preserve">Fin de première session pour un joueur régulier</w:t>
            </w:r>
          </w:p>
        </w:tc>
      </w:tr>
      <w:tr>
        <w:tc>
          <w:tcPr>
            <w:tcW w:type="dxa" w:w="1100"/>
            <w:tcMar>
              <w:top w:type="dxa" w:w="80"/>
              <w:left w:type="dxa" w:w="120"/>
              <w:bottom w:type="dxa" w:w="80"/>
              <w:right w:type="dxa" w:w="120"/>
            </w:tcMar>
          </w:tcPr>
          <w:p>
            <w:pPr>
              <w:jc w:val="left"/>
            </w:pPr>
            <w:r>
              <w:rPr>
                <w:b w:val="false"/>
                <w:bCs w:val="false"/>
                <w:sz w:val="19"/>
                <w:szCs w:val="19"/>
              </w:rPr>
              <w:t xml:space="preserve">3</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+4</w:t>
            </w:r>
          </w:p>
        </w:tc>
        <w:tc>
          <w:tcPr>
            <w:tcW w:type="dxa" w:w="4260"/>
            <w:tcMar>
              <w:top w:type="dxa" w:w="80"/>
              <w:left w:type="dxa" w:w="120"/>
              <w:bottom w:type="dxa" w:w="80"/>
              <w:right w:type="dxa" w:w="120"/>
            </w:tcMar>
          </w:tcPr>
          <w:p>
            <w:pPr>
              <w:jc w:val="left"/>
            </w:pPr>
            <w:r>
              <w:rPr>
                <w:b w:val="false"/>
                <w:bCs w:val="false"/>
                <w:sz w:val="19"/>
                <w:szCs w:val="19"/>
              </w:rPr>
              <w:t xml:space="preserve">Première semaine</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4</w:t>
            </w:r>
          </w:p>
        </w:tc>
        <w:tc>
          <w:tcPr>
            <w:tcW w:type="dxa" w:w="2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15</w:t>
            </w:r>
          </w:p>
        </w:tc>
        <w:tc>
          <w:tcPr>
            <w:tcW w:type="dxa" w:w="1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+5</w:t>
            </w:r>
          </w:p>
        </w:tc>
        <w:tc>
          <w:tcPr>
            <w:tcW w:type="dxa" w:w="4260"/>
            <w:shd w:fill="F6F5F2" w:val="clear"/>
            <w:tcMar>
              <w:top w:type="dxa" w:w="80"/>
              <w:left w:type="dxa" w:w="120"/>
              <w:bottom w:type="dxa" w:w="80"/>
              <w:right w:type="dxa" w:w="120"/>
            </w:tcMar>
          </w:tcPr>
          <w:p>
            <w:pPr>
              <w:jc w:val="left"/>
            </w:pPr>
            <w:r>
              <w:rPr>
                <w:b w:val="false"/>
                <w:bCs w:val="false"/>
                <w:sz w:val="19"/>
                <w:szCs w:val="19"/>
              </w:rPr>
              <w:t xml:space="preserve"/>
            </w:r>
          </w:p>
        </w:tc>
      </w:tr>
      <w:tr>
        <w:tc>
          <w:tcPr>
            <w:tcW w:type="dxa" w:w="1100"/>
            <w:tcMar>
              <w:top w:type="dxa" w:w="80"/>
              <w:left w:type="dxa" w:w="120"/>
              <w:bottom w:type="dxa" w:w="80"/>
              <w:right w:type="dxa" w:w="120"/>
            </w:tcMar>
          </w:tcPr>
          <w:p>
            <w:pPr>
              <w:jc w:val="left"/>
            </w:pPr>
            <w:r>
              <w:rPr>
                <w:b w:val="false"/>
                <w:bCs w:val="false"/>
                <w:sz w:val="19"/>
                <w:szCs w:val="19"/>
              </w:rPr>
              <w:t xml:space="preserve">5</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21</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+6</w:t>
            </w:r>
          </w:p>
        </w:tc>
        <w:tc>
          <w:tcPr>
            <w:tcW w:type="dxa" w:w="4260"/>
            <w:tcMar>
              <w:top w:type="dxa" w:w="80"/>
              <w:left w:type="dxa" w:w="120"/>
              <w:bottom w:type="dxa" w:w="80"/>
              <w:right w:type="dxa" w:w="120"/>
            </w:tcMar>
          </w:tcPr>
          <w:p>
            <w:pPr>
              <w:jc w:val="left"/>
            </w:pPr>
            <w:r>
              <w:rPr>
                <w:b w:val="false"/>
                <w:bCs w:val="false"/>
                <w:sz w:val="19"/>
                <w:szCs w:val="19"/>
              </w:rPr>
              <w:t xml:space="preserve">Palier de mi-parcours pour le joueur moyen</w:t>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6</w:t>
            </w:r>
          </w:p>
        </w:tc>
        <w:tc>
          <w:tcPr>
            <w:tcW w:type="dxa" w:w="2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28</w:t>
            </w:r>
          </w:p>
        </w:tc>
        <w:tc>
          <w:tcPr>
            <w:tcW w:type="dxa" w:w="1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+7</w:t>
            </w:r>
          </w:p>
        </w:tc>
        <w:tc>
          <w:tcPr>
            <w:tcW w:type="dxa" w:w="4260"/>
            <w:shd w:fill="F6F5F2" w:val="clear"/>
            <w:tcMar>
              <w:top w:type="dxa" w:w="80"/>
              <w:left w:type="dxa" w:w="120"/>
              <w:bottom w:type="dxa" w:w="80"/>
              <w:right w:type="dxa" w:w="120"/>
            </w:tcMar>
          </w:tcPr>
          <w:p>
            <w:pPr>
              <w:jc w:val="left"/>
            </w:pPr>
            <w:r>
              <w:rPr>
                <w:b w:val="false"/>
                <w:bCs w:val="false"/>
                <w:sz w:val="19"/>
                <w:szCs w:val="19"/>
              </w:rPr>
              <w:t xml:space="preserve"/>
            </w:r>
          </w:p>
        </w:tc>
      </w:tr>
      <w:tr>
        <w:tc>
          <w:tcPr>
            <w:tcW w:type="dxa" w:w="1100"/>
            <w:tcMar>
              <w:top w:type="dxa" w:w="80"/>
              <w:left w:type="dxa" w:w="120"/>
              <w:bottom w:type="dxa" w:w="80"/>
              <w:right w:type="dxa" w:w="120"/>
            </w:tcMar>
          </w:tcPr>
          <w:p>
            <w:pPr>
              <w:jc w:val="left"/>
            </w:pPr>
            <w:r>
              <w:rPr>
                <w:b w:val="false"/>
                <w:bCs w:val="false"/>
                <w:sz w:val="19"/>
                <w:szCs w:val="19"/>
              </w:rPr>
              <w:t xml:space="preserve">7</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36</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+8</w:t>
            </w:r>
          </w:p>
        </w:tc>
        <w:tc>
          <w:tcPr>
            <w:tcW w:type="dxa" w:w="4260"/>
            <w:tcMar>
              <w:top w:type="dxa" w:w="80"/>
              <w:left w:type="dxa" w:w="120"/>
              <w:bottom w:type="dxa" w:w="80"/>
              <w:right w:type="dxa" w:w="120"/>
            </w:tcMar>
          </w:tcPr>
          <w:p>
            <w:pPr>
              <w:jc w:val="left"/>
            </w:pPr>
            <w:r>
              <w:rPr>
                <w:b w:val="false"/>
                <w:bCs w:val="false"/>
                <w:sz w:val="19"/>
                <w:szCs w:val="19"/>
              </w:rPr>
              <w:t xml:space="preserve"/>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8</w:t>
            </w:r>
          </w:p>
        </w:tc>
        <w:tc>
          <w:tcPr>
            <w:tcW w:type="dxa" w:w="2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45</w:t>
            </w:r>
          </w:p>
        </w:tc>
        <w:tc>
          <w:tcPr>
            <w:tcW w:type="dxa" w:w="1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+9</w:t>
            </w:r>
          </w:p>
        </w:tc>
        <w:tc>
          <w:tcPr>
            <w:tcW w:type="dxa" w:w="4260"/>
            <w:shd w:fill="F6F5F2" w:val="clear"/>
            <w:tcMar>
              <w:top w:type="dxa" w:w="80"/>
              <w:left w:type="dxa" w:w="120"/>
              <w:bottom w:type="dxa" w:w="80"/>
              <w:right w:type="dxa" w:w="120"/>
            </w:tcMar>
          </w:tcPr>
          <w:p>
            <w:pPr>
              <w:jc w:val="left"/>
            </w:pPr>
            <w:r>
              <w:rPr>
                <w:b w:val="false"/>
                <w:bCs w:val="false"/>
                <w:sz w:val="19"/>
                <w:szCs w:val="19"/>
              </w:rPr>
              <w:t xml:space="preserve">Récompense marquante — cosmétique</w:t>
            </w:r>
          </w:p>
        </w:tc>
      </w:tr>
      <w:tr>
        <w:tc>
          <w:tcPr>
            <w:tcW w:type="dxa" w:w="1100"/>
            <w:tcMar>
              <w:top w:type="dxa" w:w="80"/>
              <w:left w:type="dxa" w:w="120"/>
              <w:bottom w:type="dxa" w:w="80"/>
              <w:right w:type="dxa" w:w="120"/>
            </w:tcMar>
          </w:tcPr>
          <w:p>
            <w:pPr>
              <w:jc w:val="left"/>
            </w:pPr>
            <w:r>
              <w:rPr>
                <w:b w:val="false"/>
                <w:bCs w:val="false"/>
                <w:sz w:val="19"/>
                <w:szCs w:val="19"/>
              </w:rPr>
              <w:t xml:space="preserve">9</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56</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+11</w:t>
            </w:r>
          </w:p>
        </w:tc>
        <w:tc>
          <w:tcPr>
            <w:tcW w:type="dxa" w:w="4260"/>
            <w:tcMar>
              <w:top w:type="dxa" w:w="80"/>
              <w:left w:type="dxa" w:w="120"/>
              <w:bottom w:type="dxa" w:w="80"/>
              <w:right w:type="dxa" w:w="120"/>
            </w:tcMar>
          </w:tcPr>
          <w:p>
            <w:pPr>
              <w:jc w:val="left"/>
            </w:pPr>
            <w:r>
              <w:rPr>
                <w:b w:val="false"/>
                <w:bCs w:val="false"/>
                <w:sz w:val="19"/>
                <w:szCs w:val="19"/>
              </w:rPr>
              <w:t xml:space="preserve"/>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10</w:t>
            </w:r>
          </w:p>
        </w:tc>
        <w:tc>
          <w:tcPr>
            <w:tcW w:type="dxa" w:w="2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68</w:t>
            </w:r>
          </w:p>
        </w:tc>
        <w:tc>
          <w:tcPr>
            <w:tcW w:type="dxa" w:w="1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+12</w:t>
            </w:r>
          </w:p>
        </w:tc>
        <w:tc>
          <w:tcPr>
            <w:tcW w:type="dxa" w:w="4260"/>
            <w:shd w:fill="F6F5F2" w:val="clear"/>
            <w:tcMar>
              <w:top w:type="dxa" w:w="80"/>
              <w:left w:type="dxa" w:w="120"/>
              <w:bottom w:type="dxa" w:w="80"/>
              <w:right w:type="dxa" w:w="120"/>
            </w:tcMar>
          </w:tcPr>
          <w:p>
            <w:pPr>
              <w:jc w:val="left"/>
            </w:pPr>
            <w:r>
              <w:rPr>
                <w:b w:val="false"/>
                <w:bCs w:val="false"/>
                <w:sz w:val="19"/>
                <w:szCs w:val="19"/>
              </w:rPr>
              <w:t xml:space="preserve"/>
            </w:r>
          </w:p>
        </w:tc>
      </w:tr>
      <w:tr>
        <w:tc>
          <w:tcPr>
            <w:tcW w:type="dxa" w:w="1100"/>
            <w:tcMar>
              <w:top w:type="dxa" w:w="80"/>
              <w:left w:type="dxa" w:w="120"/>
              <w:bottom w:type="dxa" w:w="80"/>
              <w:right w:type="dxa" w:w="120"/>
            </w:tcMar>
          </w:tcPr>
          <w:p>
            <w:pPr>
              <w:jc w:val="left"/>
            </w:pPr>
            <w:r>
              <w:rPr>
                <w:b w:val="false"/>
                <w:bCs w:val="false"/>
                <w:sz w:val="19"/>
                <w:szCs w:val="19"/>
              </w:rPr>
              <w:t xml:space="preserve">11</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82</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+14</w:t>
            </w:r>
          </w:p>
        </w:tc>
        <w:tc>
          <w:tcPr>
            <w:tcW w:type="dxa" w:w="4260"/>
            <w:tcMar>
              <w:top w:type="dxa" w:w="80"/>
              <w:left w:type="dxa" w:w="120"/>
              <w:bottom w:type="dxa" w:w="80"/>
              <w:right w:type="dxa" w:w="120"/>
            </w:tcMar>
          </w:tcPr>
          <w:p>
            <w:pPr>
              <w:jc w:val="left"/>
            </w:pPr>
            <w:r>
              <w:rPr>
                <w:b w:val="false"/>
                <w:bCs w:val="false"/>
                <w:sz w:val="19"/>
                <w:szCs w:val="19"/>
              </w:rPr>
              <w:t xml:space="preserve"/>
            </w:r>
          </w:p>
        </w:tc>
      </w:tr>
      <w:tr>
        <w:tc>
          <w:tcPr>
            <w:tcW w:type="dxa" w:w="1100"/>
            <w:shd w:fill="F6F5F2" w:val="clear"/>
            <w:tcMar>
              <w:top w:type="dxa" w:w="80"/>
              <w:left w:type="dxa" w:w="120"/>
              <w:bottom w:type="dxa" w:w="80"/>
              <w:right w:type="dxa" w:w="120"/>
            </w:tcMar>
          </w:tcPr>
          <w:p>
            <w:pPr>
              <w:jc w:val="left"/>
            </w:pPr>
            <w:r>
              <w:rPr>
                <w:b w:val="false"/>
                <w:bCs w:val="false"/>
                <w:sz w:val="19"/>
                <w:szCs w:val="19"/>
              </w:rPr>
              <w:t xml:space="preserve">12</w:t>
            </w:r>
          </w:p>
        </w:tc>
        <w:tc>
          <w:tcPr>
            <w:tcW w:type="dxa" w:w="26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100</w:t>
            </w:r>
          </w:p>
        </w:tc>
        <w:tc>
          <w:tcPr>
            <w:tcW w:type="dxa" w:w="1400"/>
            <w:shd w:fill="F6F5F2" w:val="clear"/>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+18</w:t>
            </w:r>
          </w:p>
        </w:tc>
        <w:tc>
          <w:tcPr>
            <w:tcW w:type="dxa" w:w="4260"/>
            <w:shd w:fill="F6F5F2" w:val="clear"/>
            <w:tcMar>
              <w:top w:type="dxa" w:w="80"/>
              <w:left w:type="dxa" w:w="120"/>
              <w:bottom w:type="dxa" w:w="80"/>
              <w:right w:type="dxa" w:w="120"/>
            </w:tcMar>
          </w:tcPr>
          <w:p>
            <w:pPr>
              <w:jc w:val="left"/>
            </w:pPr>
            <w:r>
              <w:rPr>
                <w:b w:val="false"/>
                <w:bCs w:val="false"/>
                <w:sz w:val="19"/>
                <w:szCs w:val="19"/>
              </w:rPr>
              <w:t xml:space="preserve">Palier maximal — récompense majeure</w:t>
            </w:r>
          </w:p>
        </w:tc>
      </w:tr>
      <w:tr>
        <w:tc>
          <w:tcPr>
            <w:tcW w:type="dxa" w:w="1100"/>
            <w:tcMar>
              <w:top w:type="dxa" w:w="80"/>
              <w:left w:type="dxa" w:w="120"/>
              <w:bottom w:type="dxa" w:w="80"/>
              <w:right w:type="dxa" w:w="120"/>
            </w:tcMar>
          </w:tcPr>
          <w:p>
            <w:pPr>
              <w:jc w:val="left"/>
            </w:pPr>
            <w:r>
              <w:rPr>
                <w:b w:val="false"/>
                <w:bCs w:val="false"/>
                <w:sz w:val="19"/>
                <w:szCs w:val="19"/>
              </w:rPr>
              <w:t xml:space="preserve">P+</w:t>
            </w:r>
          </w:p>
        </w:tc>
        <w:tc>
          <w:tcPr>
            <w:tcW w:type="dxa" w:w="26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+15 par palier</w:t>
            </w:r>
          </w:p>
        </w:tc>
        <w:tc>
          <w:tcPr>
            <w:tcW w:type="dxa" w:w="1400"/>
            <w:tcMar>
              <w:top w:type="dxa" w:w="80"/>
              <w:left w:type="dxa" w:w="120"/>
              <w:bottom w:type="dxa" w:w="80"/>
              <w:right w:type="dxa" w:w="120"/>
            </w:tcMar>
          </w:tcPr>
          <w:p>
            <w:pPr>
              <w:jc w:val="center"/>
            </w:pPr>
            <w:r>
              <w:rPr>
                <w:rFonts w:ascii="Consolas" w:cs="Consolas" w:eastAsia="Consolas" w:hAnsi="Consolas"/>
                <w:b w:val="false"/>
                <w:bCs w:val="false"/>
                <w:sz w:val="19"/>
                <w:szCs w:val="19"/>
              </w:rPr>
              <w:t xml:space="preserve">—</w:t>
            </w:r>
          </w:p>
        </w:tc>
        <w:tc>
          <w:tcPr>
            <w:tcW w:type="dxa" w:w="4260"/>
            <w:tcMar>
              <w:top w:type="dxa" w:w="80"/>
              <w:left w:type="dxa" w:w="120"/>
              <w:bottom w:type="dxa" w:w="80"/>
              <w:right w:type="dxa" w:w="120"/>
            </w:tcMar>
          </w:tcPr>
          <w:p>
            <w:pPr>
              <w:jc w:val="left"/>
            </w:pPr>
            <w:r>
              <w:rPr>
                <w:b w:val="false"/>
                <w:bCs w:val="false"/>
                <w:sz w:val="19"/>
                <w:szCs w:val="19"/>
              </w:rPr>
              <w:t xml:space="preserve">Paliers de prestige répétables, récompense réduite</w:t>
            </w:r>
          </w:p>
        </w:tc>
      </w:tr>
    </w:tbl>
    <w:p>
      <w:pPr>
        <w:spacing w:after="180"/>
      </w:pPr>
      <w:r>
        <w:rPr>
          <w:i w:val="false"/>
          <w:iCs w:val="false"/>
          <w:sz w:val="21"/>
          <w:szCs w:val="21"/>
        </w:rPr>
        <w:t xml:space="preserve">Les paliers de prestige résolvent le problème du plafond atteint tôt. Un joueur qui franchit le palier 12 en première semaine conserve un objectif : tous les quinze étages supplémentaires, il obtient une récompense réduite mais réelle. Sans ce mécanisme, la saison est terminée pour lui au bout de sept jours.</w:t>
      </w:r>
    </w:p>
    <w:p>
      <w:pPr>
        <w:pStyle w:val="Heading1"/>
        <w:spacing w:after="160" w:before="360"/>
      </w:pPr>
      <w:r>
        <w:rPr>
          <w:b/>
          <w:bCs/>
          <w:color w:val="1A1A1A"/>
          <w:sz w:val="30"/>
          <w:szCs w:val="30"/>
        </w:rPr>
        <w:t xml:space="preserve">6. Les récompenses</w:t>
      </w:r>
    </w:p>
    <w:p>
      <w:pPr>
        <w:pStyle w:val="Heading2"/>
        <w:spacing w:after="120" w:before="240"/>
      </w:pPr>
      <w:r>
        <w:rPr>
          <w:b/>
          <w:bCs/>
          <w:color w:val="0F6E56"/>
          <w:sz w:val="24"/>
          <w:szCs w:val="24"/>
        </w:rPr>
        <w:t xml:space="preserve">6.1 Principe non négociable</w:t>
      </w:r>
    </w:p>
    <w:p>
      <w:pPr>
        <w:pBdr>
          <w:left w:val="single" w:color="0F6E56" w:sz="18" w:space="12"/>
        </w:pBdr>
        <w:spacing w:after="120" w:before="120"/>
        <w:ind w:left="340"/>
      </w:pPr>
      <w:r>
        <w:rPr>
          <w:i/>
          <w:iCs/>
          <w:sz w:val="21"/>
          <w:szCs w:val="21"/>
        </w:rPr>
        <w:t xml:space="preserve">Aucune puissance de jeu exclusive derrière les paliers hauts.</w:t>
      </w:r>
    </w:p>
    <w:p>
      <w:pPr>
        <w:spacing w:after="120"/>
      </w:pPr>
      <w:r>
        <w:rPr>
          <w:i w:val="false"/>
          <w:iCs w:val="false"/>
          <w:sz w:val="21"/>
          <w:szCs w:val="21"/>
        </w:rPr>
        <w:t xml:space="preserve">Un personnage, une valise ou un effet obtenable uniquement en atteignant le palier 12 crée un écart de puissance que les joueurs suivants ne pourront jamais combler. Sur un jeu à saisons, cet écart se cumule saison après saison jusqu’à rendre le jeu illisible pour tout nouveau venu.</w:t>
      </w:r>
    </w:p>
    <w:p>
      <w:pPr>
        <w:spacing w:after="120"/>
      </w:pPr>
      <w:r>
        <w:rPr>
          <w:i w:val="false"/>
          <w:iCs w:val="false"/>
          <w:sz w:val="21"/>
          <w:szCs w:val="21"/>
        </w:rPr>
        <w:t xml:space="preserve">Les paliers hauts donnent de l’accélération et du prestige : plus de monnaie, plus vite, et des cosmétiques uniques. Jamais du contenu de jeu inaccessible autrement.</w:t>
      </w:r>
    </w:p>
    <w:p>
      <w:pPr>
        <w:pStyle w:val="Heading2"/>
        <w:spacing w:after="120" w:before="240"/>
      </w:pPr>
      <w:r>
        <w:rPr>
          <w:b/>
          <w:bCs/>
          <w:color w:val="0F6E56"/>
          <w:sz w:val="24"/>
          <w:szCs w:val="24"/>
        </w:rPr>
        <w:t xml:space="preserve">6.2 Catégories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900"/>
        <w:gridCol w:w="2860"/>
      </w:tblGrid>
      <w:tr>
        <w:trPr>
          <w:tblHeader/>
        </w:trPr>
        <w:tc>
          <w:tcPr>
            <w:tcW w:type="dxa" w:w="2000"/>
            <w:shd w:fill="E1F5EE" w:val="clear"/>
            <w:tcMar>
              <w:top w:type="dxa" w:w="80"/>
              <w:left w:type="dxa" w:w="120"/>
              <w:bottom w:type="dxa" w:w="80"/>
              <w:right w:type="dxa" w:w="120"/>
            </w:tcMar>
          </w:tcPr>
          <w:p>
            <w:pPr>
              <w:jc w:val="left"/>
            </w:pPr>
            <w:r>
              <w:rPr>
                <w:b/>
                <w:bCs/>
                <w:sz w:val="19"/>
                <w:szCs w:val="19"/>
              </w:rPr>
              <w:t xml:space="preserve">Catégorie</w:t>
            </w:r>
          </w:p>
        </w:tc>
        <w:tc>
          <w:tcPr>
            <w:tcW w:type="dxa" w:w="2600"/>
            <w:shd w:fill="E1F5EE" w:val="clear"/>
            <w:tcMar>
              <w:top w:type="dxa" w:w="80"/>
              <w:left w:type="dxa" w:w="120"/>
              <w:bottom w:type="dxa" w:w="80"/>
              <w:right w:type="dxa" w:w="120"/>
            </w:tcMar>
          </w:tcPr>
          <w:p>
            <w:pPr>
              <w:jc w:val="left"/>
            </w:pPr>
            <w:r>
              <w:rPr>
                <w:b/>
                <w:bCs/>
                <w:sz w:val="19"/>
                <w:szCs w:val="19"/>
              </w:rPr>
              <w:t xml:space="preserve">Paliers concernés</w:t>
            </w:r>
          </w:p>
        </w:tc>
        <w:tc>
          <w:tcPr>
            <w:tcW w:type="dxa" w:w="1900"/>
            <w:shd w:fill="E1F5EE" w:val="clear"/>
            <w:tcMar>
              <w:top w:type="dxa" w:w="80"/>
              <w:left w:type="dxa" w:w="120"/>
              <w:bottom w:type="dxa" w:w="80"/>
              <w:right w:type="dxa" w:w="120"/>
            </w:tcMar>
          </w:tcPr>
          <w:p>
            <w:pPr>
              <w:jc w:val="left"/>
            </w:pPr>
            <w:r>
              <w:rPr>
                <w:b/>
                <w:bCs/>
                <w:sz w:val="19"/>
                <w:szCs w:val="19"/>
              </w:rPr>
              <w:t xml:space="preserve">Quantité</w:t>
            </w:r>
          </w:p>
        </w:tc>
        <w:tc>
          <w:tcPr>
            <w:tcW w:type="dxa" w:w="2860"/>
            <w:shd w:fill="E1F5EE" w:val="clear"/>
            <w:tcMar>
              <w:top w:type="dxa" w:w="80"/>
              <w:left w:type="dxa" w:w="120"/>
              <w:bottom w:type="dxa" w:w="80"/>
              <w:right w:type="dxa" w:w="120"/>
            </w:tcMar>
          </w:tcPr>
          <w:p>
            <w:pPr>
              <w:jc w:val="left"/>
            </w:pPr>
            <w:r>
              <w:rPr>
                <w:b/>
                <w:bCs/>
                <w:sz w:val="19"/>
                <w:szCs w:val="19"/>
              </w:rPr>
              <w:t xml:space="preserve">Note</w:t>
            </w:r>
          </w:p>
        </w:tc>
      </w:tr>
      <w:tr>
        <w:tc>
          <w:tcPr>
            <w:tcW w:type="dxa" w:w="2000"/>
            <w:tcMar>
              <w:top w:type="dxa" w:w="80"/>
              <w:left w:type="dxa" w:w="120"/>
              <w:bottom w:type="dxa" w:w="80"/>
              <w:right w:type="dxa" w:w="120"/>
            </w:tcMar>
          </w:tcPr>
          <w:p>
            <w:pPr>
              <w:jc w:val="left"/>
            </w:pPr>
            <w:r>
              <w:rPr>
                <w:b w:val="false"/>
                <w:bCs w:val="false"/>
                <w:sz w:val="19"/>
                <w:szCs w:val="19"/>
              </w:rPr>
              <w:t xml:space="preserve">Tals</w:t>
            </w:r>
          </w:p>
        </w:tc>
        <w:tc>
          <w:tcPr>
            <w:tcW w:type="dxa" w:w="2600"/>
            <w:tcMar>
              <w:top w:type="dxa" w:w="80"/>
              <w:left w:type="dxa" w:w="120"/>
              <w:bottom w:type="dxa" w:w="80"/>
              <w:right w:type="dxa" w:w="120"/>
            </w:tcMar>
          </w:tcPr>
          <w:p>
            <w:pPr>
              <w:jc w:val="left"/>
            </w:pPr>
            <w:r>
              <w:rPr>
                <w:b w:val="false"/>
                <w:bCs w:val="false"/>
                <w:sz w:val="19"/>
                <w:szCs w:val="19"/>
              </w:rPr>
              <w:t xml:space="preserve">Tous les paliers</w:t>
            </w:r>
          </w:p>
        </w:tc>
        <w:tc>
          <w:tcPr>
            <w:tcW w:type="dxa" w:w="1900"/>
            <w:tcMar>
              <w:top w:type="dxa" w:w="80"/>
              <w:left w:type="dxa" w:w="120"/>
              <w:bottom w:type="dxa" w:w="80"/>
              <w:right w:type="dxa" w:w="120"/>
            </w:tcMar>
          </w:tcPr>
          <w:p>
            <w:pPr>
              <w:jc w:val="left"/>
            </w:pPr>
            <w:r>
              <w:rPr>
                <w:b w:val="false"/>
                <w:bCs w:val="false"/>
                <w:sz w:val="19"/>
                <w:szCs w:val="19"/>
              </w:rPr>
              <w:t xml:space="preserve">Croissante</w:t>
            </w:r>
          </w:p>
        </w:tc>
        <w:tc>
          <w:tcPr>
            <w:tcW w:type="dxa" w:w="2860"/>
            <w:tcMar>
              <w:top w:type="dxa" w:w="80"/>
              <w:left w:type="dxa" w:w="120"/>
              <w:bottom w:type="dxa" w:w="80"/>
              <w:right w:type="dxa" w:w="120"/>
            </w:tcMar>
          </w:tcPr>
          <w:p>
            <w:pPr>
              <w:jc w:val="left"/>
            </w:pPr>
            <w:r>
              <w:rPr>
                <w:b w:val="false"/>
                <w:bCs w:val="false"/>
                <w:sz w:val="19"/>
                <w:szCs w:val="19"/>
              </w:rPr>
              <w:t xml:space="preserve">Jamais rare — c’est le fil conducteur</w:t>
            </w:r>
          </w:p>
        </w:tc>
      </w:tr>
      <w:tr>
        <w:tc>
          <w:tcPr>
            <w:tcW w:type="dxa" w:w="2000"/>
            <w:shd w:fill="F6F5F2" w:val="clear"/>
            <w:tcMar>
              <w:top w:type="dxa" w:w="80"/>
              <w:left w:type="dxa" w:w="120"/>
              <w:bottom w:type="dxa" w:w="80"/>
              <w:right w:type="dxa" w:w="120"/>
            </w:tcMar>
          </w:tcPr>
          <w:p>
            <w:pPr>
              <w:jc w:val="left"/>
            </w:pPr>
            <w:r>
              <w:rPr>
                <w:b w:val="false"/>
                <w:bCs w:val="false"/>
                <w:sz w:val="19"/>
                <w:szCs w:val="19"/>
              </w:rPr>
              <w:t xml:space="preserve">Monnaie d’invocation</w:t>
            </w:r>
          </w:p>
        </w:tc>
        <w:tc>
          <w:tcPr>
            <w:tcW w:type="dxa" w:w="2600"/>
            <w:shd w:fill="F6F5F2" w:val="clear"/>
            <w:tcMar>
              <w:top w:type="dxa" w:w="80"/>
              <w:left w:type="dxa" w:w="120"/>
              <w:bottom w:type="dxa" w:w="80"/>
              <w:right w:type="dxa" w:w="120"/>
            </w:tcMar>
          </w:tcPr>
          <w:p>
            <w:pPr>
              <w:jc w:val="left"/>
            </w:pPr>
            <w:r>
              <w:rPr>
                <w:b w:val="false"/>
                <w:bCs w:val="false"/>
                <w:sz w:val="19"/>
                <w:szCs w:val="19"/>
              </w:rPr>
              <w:t xml:space="preserve">Paliers 3, 5, 7, 9, 11, 12</w:t>
            </w:r>
          </w:p>
        </w:tc>
        <w:tc>
          <w:tcPr>
            <w:tcW w:type="dxa" w:w="1900"/>
            <w:shd w:fill="F6F5F2" w:val="clear"/>
            <w:tcMar>
              <w:top w:type="dxa" w:w="80"/>
              <w:left w:type="dxa" w:w="120"/>
              <w:bottom w:type="dxa" w:w="80"/>
              <w:right w:type="dxa" w:w="120"/>
            </w:tcMar>
          </w:tcPr>
          <w:p>
            <w:pPr>
              <w:jc w:val="left"/>
            </w:pPr>
            <w:r>
              <w:rPr>
                <w:b w:val="false"/>
                <w:bCs w:val="false"/>
                <w:sz w:val="19"/>
                <w:szCs w:val="19"/>
              </w:rPr>
              <w:t xml:space="preserve">Croissante</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Le vrai moteur de désir</w:t>
            </w:r>
          </w:p>
        </w:tc>
      </w:tr>
      <w:tr>
        <w:tc>
          <w:tcPr>
            <w:tcW w:type="dxa" w:w="2000"/>
            <w:tcMar>
              <w:top w:type="dxa" w:w="80"/>
              <w:left w:type="dxa" w:w="120"/>
              <w:bottom w:type="dxa" w:w="80"/>
              <w:right w:type="dxa" w:w="120"/>
            </w:tcMar>
          </w:tcPr>
          <w:p>
            <w:pPr>
              <w:jc w:val="left"/>
            </w:pPr>
            <w:r>
              <w:rPr>
                <w:b w:val="false"/>
                <w:bCs w:val="false"/>
                <w:sz w:val="19"/>
                <w:szCs w:val="19"/>
              </w:rPr>
              <w:t xml:space="preserve">Valises / objets</w:t>
            </w:r>
          </w:p>
        </w:tc>
        <w:tc>
          <w:tcPr>
            <w:tcW w:type="dxa" w:w="2600"/>
            <w:tcMar>
              <w:top w:type="dxa" w:w="80"/>
              <w:left w:type="dxa" w:w="120"/>
              <w:bottom w:type="dxa" w:w="80"/>
              <w:right w:type="dxa" w:w="120"/>
            </w:tcMar>
          </w:tcPr>
          <w:p>
            <w:pPr>
              <w:jc w:val="left"/>
            </w:pPr>
            <w:r>
              <w:rPr>
                <w:b w:val="false"/>
                <w:bCs w:val="false"/>
                <w:sz w:val="19"/>
                <w:szCs w:val="19"/>
              </w:rPr>
              <w:t xml:space="preserve">Paliers 2, 4, 6, 8, 10</w:t>
            </w:r>
          </w:p>
        </w:tc>
        <w:tc>
          <w:tcPr>
            <w:tcW w:type="dxa" w:w="1900"/>
            <w:tcMar>
              <w:top w:type="dxa" w:w="80"/>
              <w:left w:type="dxa" w:w="120"/>
              <w:bottom w:type="dxa" w:w="80"/>
              <w:right w:type="dxa" w:w="120"/>
            </w:tcMar>
          </w:tcPr>
          <w:p>
            <w:pPr>
              <w:jc w:val="left"/>
            </w:pPr>
            <w:r>
              <w:rPr>
                <w:b w:val="false"/>
                <w:bCs w:val="false"/>
                <w:sz w:val="19"/>
                <w:szCs w:val="19"/>
              </w:rPr>
              <w:t xml:space="preserve">Rareté croissante</w:t>
            </w:r>
          </w:p>
        </w:tc>
        <w:tc>
          <w:tcPr>
            <w:tcW w:type="dxa" w:w="2860"/>
            <w:tcMar>
              <w:top w:type="dxa" w:w="80"/>
              <w:left w:type="dxa" w:w="120"/>
              <w:bottom w:type="dxa" w:w="80"/>
              <w:right w:type="dxa" w:w="120"/>
            </w:tcMar>
          </w:tcPr>
          <w:p>
            <w:pPr>
              <w:jc w:val="left"/>
            </w:pPr>
            <w:r>
              <w:rPr>
                <w:b w:val="false"/>
                <w:bCs w:val="false"/>
                <w:sz w:val="19"/>
                <w:szCs w:val="19"/>
              </w:rPr>
              <w:t xml:space="preserve">À caler sur l’économie de run</w:t>
            </w:r>
          </w:p>
        </w:tc>
      </w:tr>
      <w:tr>
        <w:tc>
          <w:tcPr>
            <w:tcW w:type="dxa" w:w="2000"/>
            <w:shd w:fill="F6F5F2" w:val="clear"/>
            <w:tcMar>
              <w:top w:type="dxa" w:w="80"/>
              <w:left w:type="dxa" w:w="120"/>
              <w:bottom w:type="dxa" w:w="80"/>
              <w:right w:type="dxa" w:w="120"/>
            </w:tcMar>
          </w:tcPr>
          <w:p>
            <w:pPr>
              <w:jc w:val="left"/>
            </w:pPr>
            <w:r>
              <w:rPr>
                <w:b w:val="false"/>
                <w:bCs w:val="false"/>
                <w:sz w:val="19"/>
                <w:szCs w:val="19"/>
              </w:rPr>
              <w:t xml:space="preserve">Cosmétiques</w:t>
            </w:r>
          </w:p>
        </w:tc>
        <w:tc>
          <w:tcPr>
            <w:tcW w:type="dxa" w:w="2600"/>
            <w:shd w:fill="F6F5F2" w:val="clear"/>
            <w:tcMar>
              <w:top w:type="dxa" w:w="80"/>
              <w:left w:type="dxa" w:w="120"/>
              <w:bottom w:type="dxa" w:w="80"/>
              <w:right w:type="dxa" w:w="120"/>
            </w:tcMar>
          </w:tcPr>
          <w:p>
            <w:pPr>
              <w:jc w:val="left"/>
            </w:pPr>
            <w:r>
              <w:rPr>
                <w:b w:val="false"/>
                <w:bCs w:val="false"/>
                <w:sz w:val="19"/>
                <w:szCs w:val="19"/>
              </w:rPr>
              <w:t xml:space="preserve">Paliers 8 et 12</w:t>
            </w:r>
          </w:p>
        </w:tc>
        <w:tc>
          <w:tcPr>
            <w:tcW w:type="dxa" w:w="1900"/>
            <w:shd w:fill="F6F5F2" w:val="clear"/>
            <w:tcMar>
              <w:top w:type="dxa" w:w="80"/>
              <w:left w:type="dxa" w:w="120"/>
              <w:bottom w:type="dxa" w:w="80"/>
              <w:right w:type="dxa" w:w="120"/>
            </w:tcMar>
          </w:tcPr>
          <w:p>
            <w:pPr>
              <w:jc w:val="left"/>
            </w:pPr>
            <w:r>
              <w:rPr>
                <w:b w:val="false"/>
                <w:bCs w:val="false"/>
                <w:sz w:val="19"/>
                <w:szCs w:val="19"/>
              </w:rPr>
              <w:t xml:space="preserve">Unique par saison</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Cadre, titre, vignette — non rejouable</w:t>
            </w:r>
          </w:p>
        </w:tc>
      </w:tr>
      <w:tr>
        <w:tc>
          <w:tcPr>
            <w:tcW w:type="dxa" w:w="2000"/>
            <w:tcMar>
              <w:top w:type="dxa" w:w="80"/>
              <w:left w:type="dxa" w:w="120"/>
              <w:bottom w:type="dxa" w:w="80"/>
              <w:right w:type="dxa" w:w="120"/>
            </w:tcMar>
          </w:tcPr>
          <w:p>
            <w:pPr>
              <w:jc w:val="left"/>
            </w:pPr>
            <w:r>
              <w:rPr>
                <w:b w:val="false"/>
                <w:bCs w:val="false"/>
                <w:sz w:val="19"/>
                <w:szCs w:val="19"/>
              </w:rPr>
              <w:t xml:space="preserve">Fragments de personnage</w:t>
            </w:r>
          </w:p>
        </w:tc>
        <w:tc>
          <w:tcPr>
            <w:tcW w:type="dxa" w:w="2600"/>
            <w:tcMar>
              <w:top w:type="dxa" w:w="80"/>
              <w:left w:type="dxa" w:w="120"/>
              <w:bottom w:type="dxa" w:w="80"/>
              <w:right w:type="dxa" w:w="120"/>
            </w:tcMar>
          </w:tcPr>
          <w:p>
            <w:pPr>
              <w:jc w:val="left"/>
            </w:pPr>
            <w:r>
              <w:rPr>
                <w:b w:val="false"/>
                <w:bCs w:val="false"/>
                <w:sz w:val="19"/>
                <w:szCs w:val="19"/>
              </w:rPr>
              <w:t xml:space="preserve">Paliers 10 et 12</w:t>
            </w:r>
          </w:p>
        </w:tc>
        <w:tc>
          <w:tcPr>
            <w:tcW w:type="dxa" w:w="1900"/>
            <w:tcMar>
              <w:top w:type="dxa" w:w="80"/>
              <w:left w:type="dxa" w:w="120"/>
              <w:bottom w:type="dxa" w:w="80"/>
              <w:right w:type="dxa" w:w="120"/>
            </w:tcMar>
          </w:tcPr>
          <w:p>
            <w:pPr>
              <w:jc w:val="left"/>
            </w:pPr>
            <w:r>
              <w:rPr>
                <w:b w:val="false"/>
                <w:bCs w:val="false"/>
                <w:sz w:val="19"/>
                <w:szCs w:val="19"/>
              </w:rPr>
              <w:t xml:space="preserve">Élevée</w:t>
            </w:r>
          </w:p>
        </w:tc>
        <w:tc>
          <w:tcPr>
            <w:tcW w:type="dxa" w:w="2860"/>
            <w:tcMar>
              <w:top w:type="dxa" w:w="80"/>
              <w:left w:type="dxa" w:w="120"/>
              <w:bottom w:type="dxa" w:w="80"/>
              <w:right w:type="dxa" w:w="120"/>
            </w:tcMar>
          </w:tcPr>
          <w:p>
            <w:pPr>
              <w:jc w:val="left"/>
            </w:pPr>
            <w:r>
              <w:rPr>
                <w:b w:val="false"/>
                <w:bCs w:val="false"/>
                <w:sz w:val="19"/>
                <w:szCs w:val="19"/>
              </w:rPr>
              <w:t xml:space="preserve">Jamais un personnage exclusif</w:t>
            </w:r>
          </w:p>
        </w:tc>
      </w:tr>
      <w:tr>
        <w:tc>
          <w:tcPr>
            <w:tcW w:type="dxa" w:w="2000"/>
            <w:shd w:fill="F6F5F2" w:val="clear"/>
            <w:tcMar>
              <w:top w:type="dxa" w:w="80"/>
              <w:left w:type="dxa" w:w="120"/>
              <w:bottom w:type="dxa" w:w="80"/>
              <w:right w:type="dxa" w:w="120"/>
            </w:tcMar>
          </w:tcPr>
          <w:p>
            <w:pPr>
              <w:jc w:val="left"/>
            </w:pPr>
            <w:r>
              <w:rPr>
                <w:b w:val="false"/>
                <w:bCs w:val="false"/>
                <w:sz w:val="19"/>
                <w:szCs w:val="19"/>
              </w:rPr>
              <w:t xml:space="preserve">Paliers de prestige</w:t>
            </w:r>
          </w:p>
        </w:tc>
        <w:tc>
          <w:tcPr>
            <w:tcW w:type="dxa" w:w="2600"/>
            <w:shd w:fill="F6F5F2" w:val="clear"/>
            <w:tcMar>
              <w:top w:type="dxa" w:w="80"/>
              <w:left w:type="dxa" w:w="120"/>
              <w:bottom w:type="dxa" w:w="80"/>
              <w:right w:type="dxa" w:w="120"/>
            </w:tcMar>
          </w:tcPr>
          <w:p>
            <w:pPr>
              <w:jc w:val="left"/>
            </w:pPr>
            <w:r>
              <w:rPr>
                <w:b w:val="false"/>
                <w:bCs w:val="false"/>
                <w:sz w:val="19"/>
                <w:szCs w:val="19"/>
              </w:rPr>
              <w:t xml:space="preserve">Au-delà du palier 12</w:t>
            </w:r>
          </w:p>
        </w:tc>
        <w:tc>
          <w:tcPr>
            <w:tcW w:type="dxa" w:w="1900"/>
            <w:shd w:fill="F6F5F2" w:val="clear"/>
            <w:tcMar>
              <w:top w:type="dxa" w:w="80"/>
              <w:left w:type="dxa" w:w="120"/>
              <w:bottom w:type="dxa" w:w="80"/>
              <w:right w:type="dxa" w:w="120"/>
            </w:tcMar>
          </w:tcPr>
          <w:p>
            <w:pPr>
              <w:jc w:val="left"/>
            </w:pPr>
            <w:r>
              <w:rPr>
                <w:b w:val="false"/>
                <w:bCs w:val="false"/>
                <w:sz w:val="19"/>
                <w:szCs w:val="19"/>
              </w:rPr>
              <w:t xml:space="preserve">Faible et répétable</w:t>
            </w:r>
          </w:p>
        </w:tc>
        <w:tc>
          <w:tcPr>
            <w:tcW w:type="dxa" w:w="2860"/>
            <w:shd w:fill="F6F5F2" w:val="clear"/>
            <w:tcMar>
              <w:top w:type="dxa" w:w="80"/>
              <w:left w:type="dxa" w:w="120"/>
              <w:bottom w:type="dxa" w:w="80"/>
              <w:right w:type="dxa" w:w="120"/>
            </w:tcMar>
          </w:tcPr>
          <w:p>
            <w:pPr>
              <w:jc w:val="left"/>
            </w:pPr>
            <w:r>
              <w:rPr>
                <w:b w:val="false"/>
                <w:bCs w:val="false"/>
                <w:sz w:val="19"/>
                <w:szCs w:val="19"/>
              </w:rPr>
              <w:t xml:space="preserve">Anti-plafond, pas une source de puissance</w:t>
            </w:r>
          </w:p>
        </w:tc>
      </w:tr>
    </w:tbl>
    <w:p>
      <w:pPr>
        <w:spacing w:after="180"/>
      </w:pPr>
      <w:r>
        <w:rPr>
          <w:i w:val="false"/>
          <w:iCs w:val="false"/>
          <w:sz w:val="21"/>
          <w:szCs w:val="21"/>
        </w:rPr>
        <w:t xml:space="preserve">Les quantités exactes ne peuvent pas être fixées dans ce document : elles dépendent de l’équilibrage de l’économie d’invocation, qui n’est pas figée. Elles constituent un point ouvert de la section 11.</w:t>
      </w:r>
    </w:p>
    <w:p>
      <w:pPr>
        <w:pStyle w:val="Heading1"/>
        <w:spacing w:after="160" w:before="360"/>
      </w:pPr>
      <w:r>
        <w:rPr>
          <w:b/>
          <w:bCs/>
          <w:color w:val="1A1A1A"/>
          <w:sz w:val="30"/>
          <w:szCs w:val="30"/>
        </w:rPr>
        <w:t xml:space="preserve">7. Le classement — phase 2</w:t>
      </w:r>
    </w:p>
    <w:p>
      <w:pPr>
        <w:pStyle w:val="Heading2"/>
        <w:spacing w:after="120" w:before="240"/>
      </w:pPr>
      <w:r>
        <w:rPr>
          <w:b/>
          <w:bCs/>
          <w:color w:val="0F6E56"/>
          <w:sz w:val="24"/>
          <w:szCs w:val="24"/>
        </w:rPr>
        <w:t xml:space="preserve">7.1 Condition de déclenchement</w:t>
      </w:r>
    </w:p>
    <w:p>
      <w:pPr>
        <w:spacing w:after="120"/>
      </w:pPr>
      <w:r>
        <w:rPr>
          <w:i w:val="false"/>
          <w:iCs w:val="false"/>
          <w:sz w:val="21"/>
          <w:szCs w:val="21"/>
        </w:rPr>
        <w:t xml:space="preserve">Le classement n’est activé que lorsque la population le justifie. Le seuil exact est à définir, mais le critère est qualitatif : il faut qu’un joueur moyen puisse se voir dans un rang qui a du sens. Un classement où le joueur médian est 150ᵉ sur 300 ne motive personne.</w:t>
      </w:r>
    </w:p>
    <w:p>
      <w:pPr>
        <w:pStyle w:val="Heading2"/>
        <w:spacing w:after="120" w:before="240"/>
      </w:pPr>
      <w:r>
        <w:rPr>
          <w:b/>
          <w:bCs/>
          <w:color w:val="0F6E56"/>
          <w:sz w:val="24"/>
          <w:szCs w:val="24"/>
        </w:rPr>
        <w:t xml:space="preserve">7.2 Ce qu’il mesure</w:t>
      </w:r>
    </w:p>
    <w:p>
      <w:pPr>
        <w:spacing w:after="120"/>
      </w:pPr>
      <w:r>
        <w:rPr>
          <w:i w:val="false"/>
          <w:iCs w:val="false"/>
          <w:sz w:val="21"/>
          <w:szCs w:val="21"/>
        </w:rPr>
        <w:t xml:space="preserve">La même métrique que les seuils : le plus haut étage atteint en une run sur la saison. Utiliser deux métriques différentes obligerait le joueur à entretenir deux modèles mentaux, et rendrait la page de saison illisible.</w:t>
      </w:r>
    </w:p>
    <w:p>
      <w:pPr>
        <w:pStyle w:val="Heading2"/>
        <w:spacing w:after="120" w:before="240"/>
      </w:pPr>
      <w:r>
        <w:rPr>
          <w:b/>
          <w:bCs/>
          <w:color w:val="0F6E56"/>
          <w:sz w:val="24"/>
          <w:szCs w:val="24"/>
        </w:rPr>
        <w:t xml:space="preserve">7.3 Ce qu’il distribue</w:t>
      </w:r>
    </w:p>
    <w:p>
      <w:pPr>
        <w:pStyle w:val="ListParagraph"/>
        <w:numPr>
          <w:ilvl w:val="0"/>
          <w:numId w:val="2"/>
        </w:numPr>
        <w:spacing w:after="60"/>
      </w:pPr>
      <w:r>
        <w:rPr>
          <w:sz w:val="21"/>
          <w:szCs w:val="21"/>
        </w:rPr>
        <w:t xml:space="preserve">Un titre affichable, propre à la saison.</w:t>
      </w:r>
    </w:p>
    <w:p>
      <w:pPr>
        <w:pStyle w:val="ListParagraph"/>
        <w:numPr>
          <w:ilvl w:val="0"/>
          <w:numId w:val="2"/>
        </w:numPr>
        <w:spacing w:after="60"/>
      </w:pPr>
      <w:r>
        <w:rPr>
          <w:sz w:val="21"/>
          <w:szCs w:val="21"/>
        </w:rPr>
        <w:t xml:space="preserve">Un cadre ou une bordure de profil.</w:t>
      </w:r>
    </w:p>
    <w:p>
      <w:pPr>
        <w:pStyle w:val="ListParagraph"/>
        <w:numPr>
          <w:ilvl w:val="0"/>
          <w:numId w:val="2"/>
        </w:numPr>
        <w:spacing w:after="60"/>
      </w:pPr>
      <w:r>
        <w:rPr>
          <w:sz w:val="21"/>
          <w:szCs w:val="21"/>
        </w:rPr>
        <w:t xml:space="preserve">Une entrée permanente dans un tableau d’honneur, consultable après la fin de la saison.</w:t>
      </w:r>
    </w:p>
    <w:p>
      <w:pPr>
        <w:pStyle w:val="ListParagraph"/>
        <w:numPr>
          <w:ilvl w:val="0"/>
          <w:numId w:val="2"/>
        </w:numPr>
        <w:spacing w:after="60"/>
      </w:pPr>
      <w:r>
        <w:rPr>
          <w:sz w:val="21"/>
          <w:szCs w:val="21"/>
        </w:rPr>
        <w:t xml:space="preserve">Rien d’autre. Aucune monnaie, aucun personnage, aucun objet, aucune statistique.</w:t>
      </w:r>
    </w:p>
    <w:p>
      <w:pPr>
        <w:spacing w:after="120"/>
      </w:pPr>
      <w:r>
        <w:rPr>
          <w:i w:val="false"/>
          <w:iCs w:val="false"/>
          <w:sz w:val="21"/>
          <w:szCs w:val="21"/>
        </w:rPr>
        <w:t xml:space="preserve">Ce cloisonnement est ce qui rend l’ajout du classement indolore. Un joueur non compétitif ne perd strictement rien à son arrivée.</w:t>
      </w:r>
    </w:p>
    <w:p>
      <w:pPr>
        <w:pStyle w:val="Heading2"/>
        <w:spacing w:after="120" w:before="240"/>
      </w:pPr>
      <w:r>
        <w:rPr>
          <w:b/>
          <w:bCs/>
          <w:color w:val="0F6E56"/>
          <w:sz w:val="24"/>
          <w:szCs w:val="24"/>
        </w:rPr>
        <w:t xml:space="preserve">7.4 Coexistence</w:t>
      </w:r>
    </w:p>
    <w:p>
      <w:pPr>
        <w:spacing w:after="120"/>
      </w:pPr>
      <w:r>
        <w:rPr>
          <w:i w:val="false"/>
          <w:iCs w:val="false"/>
          <w:sz w:val="21"/>
          <w:szCs w:val="21"/>
        </w:rPr>
        <w:t xml:space="preserve">Les seuils ne sont jamais désactivés, réduits ni remplacés. Le classement s’affiche à côté d’eux, sur la même page, comme une seconde lecture de la même performance.</w:t>
      </w:r>
    </w:p>
    <w:p>
      <w:r>
        <w:br w:type="page"/>
      </w:r>
    </w:p>
    <w:p>
      <w:pPr>
        <w:pStyle w:val="Heading1"/>
        <w:spacing w:after="160" w:before="360"/>
      </w:pPr>
      <w:r>
        <w:rPr>
          <w:b/>
          <w:bCs/>
          <w:color w:val="1A1A1A"/>
          <w:sz w:val="30"/>
          <w:szCs w:val="30"/>
        </w:rPr>
        <w:t xml:space="preserve">8. Intégrité et dépendance serveur</w:t>
      </w:r>
    </w:p>
    <w:p>
      <w:pPr>
        <w:pStyle w:val="Heading2"/>
        <w:spacing w:after="120" w:before="240"/>
      </w:pPr>
      <w:r>
        <w:rPr>
          <w:b/>
          <w:bCs/>
          <w:color w:val="0F6E56"/>
          <w:sz w:val="24"/>
          <w:szCs w:val="24"/>
        </w:rPr>
        <w:t xml:space="preserve">8.1 Le temps serveur est obligatoire dès la saison 1</w:t>
      </w:r>
    </w:p>
    <w:p>
      <w:pPr>
        <w:spacing w:after="120"/>
      </w:pPr>
      <w:r>
        <w:rPr>
          <w:i w:val="false"/>
          <w:iCs w:val="false"/>
          <w:sz w:val="21"/>
          <w:szCs w:val="21"/>
        </w:rPr>
        <w:t xml:space="preserve">C’est le point que l’on croit pouvoir repousser, et qu’on ne peut pas. Dès qu’une récompense est datée, l’horloge de l’appareil devient un vecteur d’exploitation : le joueur avance sa date, la saison se termine, il réclame ses récompenses, il revient en arrière, il recommence.</w:t>
      </w:r>
    </w:p>
    <w:p>
      <w:pPr>
        <w:spacing w:after="120"/>
      </w:pPr>
      <w:r>
        <w:rPr>
          <w:i w:val="false"/>
          <w:iCs w:val="false"/>
          <w:sz w:val="21"/>
          <w:szCs w:val="21"/>
        </w:rPr>
        <w:t xml:space="preserve">Un système de seuils sans classement n’échappe pas à ce problème. Il faut une source de temps de confiance dès la première saison.</w:t>
      </w:r>
    </w:p>
    <w:p>
      <w:pPr>
        <w:pStyle w:val="Heading2"/>
        <w:spacing w:after="120" w:before="240"/>
      </w:pPr>
      <w:r>
        <w:rPr>
          <w:b/>
          <w:bCs/>
          <w:color w:val="0F6E56"/>
          <w:sz w:val="24"/>
          <w:szCs w:val="24"/>
        </w:rPr>
        <w:t xml:space="preserve">8.2 Ce qui doit être validé côté serveur, et quand</w:t>
      </w:r>
    </w:p>
    <w:p>
      <w:pPr>
        <w:pStyle w:val="ListParagraph"/>
        <w:numPr>
          <w:ilvl w:val="0"/>
          <w:numId w:val="2"/>
        </w:numPr>
        <w:spacing w:after="60"/>
      </w:pPr>
      <w:r>
        <w:rPr>
          <w:sz w:val="21"/>
          <w:szCs w:val="21"/>
        </w:rPr>
        <w:t xml:space="preserve">Phase 1 (seuils seuls) : le temps. La métrique peut rester locale, avec un risque de triche limité — un tricheur se ment surtout à lui-même puisqu’il n’est comparé à personne.</w:t>
      </w:r>
    </w:p>
    <w:p>
      <w:pPr>
        <w:pStyle w:val="ListParagraph"/>
        <w:numPr>
          <w:ilvl w:val="0"/>
          <w:numId w:val="2"/>
        </w:numPr>
        <w:spacing w:after="60"/>
      </w:pPr>
      <w:r>
        <w:rPr>
          <w:sz w:val="21"/>
          <w:szCs w:val="21"/>
        </w:rPr>
        <w:t xml:space="preserve">Phase 2 (classement) : la métrique devient obligatoirement validée côté serveur. Un classement alimenté par une valeur déclarée par le client n’a aucune valeur.</w:t>
      </w:r>
    </w:p>
    <w:p>
      <w:pPr>
        <w:pStyle w:val="Heading2"/>
        <w:spacing w:after="120" w:before="240"/>
      </w:pPr>
      <w:r>
        <w:rPr>
          <w:b/>
          <w:bCs/>
          <w:color w:val="0F6E56"/>
          <w:sz w:val="24"/>
          <w:szCs w:val="24"/>
        </w:rPr>
        <w:t xml:space="preserve">8.3 Conséquence sur la phase 1</w:t>
      </w:r>
    </w:p>
    <w:p>
      <w:pPr>
        <w:spacing w:after="120"/>
      </w:pPr>
      <w:r>
        <w:rPr>
          <w:i w:val="false"/>
          <w:iCs w:val="false"/>
          <w:sz w:val="21"/>
          <w:szCs w:val="21"/>
        </w:rPr>
        <w:t xml:space="preserve">Même si la métrique reste locale en phase 1, les données enregistrées doivent déjà être auditables : horodatage de la run, étage atteint, équipe utilisée, durée. Sans ces éléments, il sera impossible de détecter rétroactivement les anomalies au moment de la bascule.</w:t>
      </w:r>
    </w:p>
    <w:p>
      <w:pPr>
        <w:pStyle w:val="Heading1"/>
        <w:spacing w:after="160" w:before="360"/>
      </w:pPr>
      <w:r>
        <w:rPr>
          <w:b/>
          <w:bCs/>
          <w:color w:val="1A1A1A"/>
          <w:sz w:val="30"/>
          <w:szCs w:val="30"/>
        </w:rPr>
        <w:t xml:space="preserve">9. Affichage et UX</w:t>
      </w:r>
    </w:p>
    <w:p>
      <w:pPr>
        <w:spacing w:after="120"/>
      </w:pPr>
      <w:r>
        <w:rPr>
          <w:i w:val="false"/>
          <w:iCs w:val="false"/>
          <w:sz w:val="21"/>
          <w:szCs w:val="21"/>
        </w:rPr>
        <w:t xml:space="preserve">La page de saison doit répondre à quatre questions, dans cet ordre de lecture :</w:t>
      </w:r>
    </w:p>
    <w:p>
      <w:pPr>
        <w:pStyle w:val="ListParagraph"/>
        <w:numPr>
          <w:ilvl w:val="0"/>
          <w:numId w:val="3"/>
        </w:numPr>
        <w:spacing w:after="60"/>
      </w:pPr>
      <w:r>
        <w:rPr>
          <w:sz w:val="21"/>
          <w:szCs w:val="21"/>
        </w:rPr>
        <w:t xml:space="preserve">Où en suis-je ? — palier actuel, meilleur étage de la saison.</w:t>
      </w:r>
    </w:p>
    <w:p>
      <w:pPr>
        <w:pStyle w:val="ListParagraph"/>
        <w:numPr>
          <w:ilvl w:val="0"/>
          <w:numId w:val="3"/>
        </w:numPr>
        <w:spacing w:after="60"/>
      </w:pPr>
      <w:r>
        <w:rPr>
          <w:sz w:val="21"/>
          <w:szCs w:val="21"/>
        </w:rPr>
        <w:t xml:space="preserve">Qu’est-ce qui me manque ? — étages restants avant le palier suivant, et ce que ce palier contient. C’est l’information la plus importante de la page.</w:t>
      </w:r>
    </w:p>
    <w:p>
      <w:pPr>
        <w:pStyle w:val="ListParagraph"/>
        <w:numPr>
          <w:ilvl w:val="0"/>
          <w:numId w:val="3"/>
        </w:numPr>
        <w:spacing w:after="60"/>
      </w:pPr>
      <w:r>
        <w:rPr>
          <w:sz w:val="21"/>
          <w:szCs w:val="21"/>
        </w:rPr>
        <w:t xml:space="preserve">Combien de temps me reste-t-il ? — fin de saison, en jours puis en heures dans la dernière journée.</w:t>
      </w:r>
    </w:p>
    <w:p>
      <w:pPr>
        <w:pStyle w:val="ListParagraph"/>
        <w:numPr>
          <w:ilvl w:val="0"/>
          <w:numId w:val="3"/>
        </w:numPr>
        <w:spacing w:after="60"/>
      </w:pPr>
      <w:r>
        <w:rPr>
          <w:sz w:val="21"/>
          <w:szCs w:val="21"/>
        </w:rPr>
        <w:t xml:space="preserve">Qu’est-ce que j’ai déjà obtenu ? — piste complète des paliers, avec état réclamé ou non.</w:t>
      </w:r>
    </w:p>
    <w:p>
      <w:pPr>
        <w:spacing w:after="120"/>
      </w:pPr>
      <w:r>
        <w:rPr>
          <w:i w:val="false"/>
          <w:iCs w:val="false"/>
          <w:sz w:val="21"/>
          <w:szCs w:val="21"/>
        </w:rPr>
        <w:t xml:space="preserve">La piste des paliers doit être défilable et montrer d’emblée la position actuelle, pas le début de la piste. Un joueur au palier 9 ne doit pas avoir à faire défiler pour se trouver.</w:t>
      </w:r>
    </w:p>
    <w:p>
      <w:pPr>
        <w:spacing w:after="120"/>
      </w:pPr>
      <w:r>
        <w:rPr>
          <w:i w:val="false"/>
          <w:iCs w:val="false"/>
          <w:sz w:val="21"/>
          <w:szCs w:val="21"/>
        </w:rPr>
        <w:t xml:space="preserve">Emplacement : à trancher entre une page dédiée dans la navigation principale et une intégration à la page Missions. Point ouvert.</w:t>
      </w:r>
    </w:p>
    <w:p>
      <w:pPr>
        <w:pStyle w:val="Heading1"/>
        <w:spacing w:after="160" w:before="360"/>
      </w:pPr>
      <w:r>
        <w:rPr>
          <w:b/>
          <w:bCs/>
          <w:color w:val="1A1A1A"/>
          <w:sz w:val="30"/>
          <w:szCs w:val="30"/>
        </w:rPr>
        <w:t xml:space="preserve">10. Impact sur la sauvegarde</w:t>
      </w:r>
    </w:p>
    <w:p>
      <w:pPr>
        <w:spacing w:after="120"/>
      </w:pPr>
      <w:r>
        <w:rPr>
          <w:i w:val="false"/>
          <w:iCs w:val="false"/>
          <w:sz w:val="21"/>
          <w:szCs w:val="21"/>
        </w:rPr>
        <w:t xml:space="preserve">L’ajout des données de saison est le moment où la sauvegarde a besoin d’un système de versionnage. À ce jour, PersistentManager ne présente pas de champ de version identifiable.</w:t>
      </w:r>
    </w:p>
    <w:p>
      <w:pPr>
        <w:spacing w:after="120"/>
      </w:pPr>
      <w:r>
        <w:rPr>
          <w:i w:val="false"/>
          <w:iCs w:val="false"/>
          <w:sz w:val="21"/>
          <w:szCs w:val="21"/>
        </w:rPr>
        <w:t xml:space="preserve">Nouvelles données à persister :</w:t>
      </w:r>
    </w:p>
    <w:p>
      <w:pPr>
        <w:shd w:fill="F1EFE8" w:val="clear"/>
        <w:spacing w:after="120" w:before="60"/>
      </w:pPr>
      <w:r>
        <w:rPr>
          <w:rFonts w:ascii="Consolas" w:cs="Consolas" w:eastAsia="Consolas" w:hAnsi="Consolas"/>
          <w:sz w:val="19"/>
          <w:szCs w:val="19"/>
        </w:rPr>
        <w:t xml:space="preserve">seasonId                 // identifiant de la saison en cours</w:t>
      </w:r>
    </w:p>
    <w:p>
      <w:pPr>
        <w:shd w:fill="F1EFE8" w:val="clear"/>
        <w:spacing w:after="120" w:before="60"/>
      </w:pPr>
      <w:r>
        <w:rPr>
          <w:rFonts w:ascii="Consolas" w:cs="Consolas" w:eastAsia="Consolas" w:hAnsi="Consolas"/>
          <w:sz w:val="19"/>
          <w:szCs w:val="19"/>
        </w:rPr>
        <w:t xml:space="preserve">bestStageThisSeason      // métrique</w:t>
      </w:r>
    </w:p>
    <w:p>
      <w:pPr>
        <w:shd w:fill="F1EFE8" w:val="clear"/>
        <w:spacing w:after="120" w:before="60"/>
      </w:pPr>
      <w:r>
        <w:rPr>
          <w:rFonts w:ascii="Consolas" w:cs="Consolas" w:eastAsia="Consolas" w:hAnsi="Consolas"/>
          <w:sz w:val="19"/>
          <w:szCs w:val="19"/>
        </w:rPr>
        <w:t xml:space="preserve">claimedTiers             // paliers réclamés</w:t>
      </w:r>
    </w:p>
    <w:p>
      <w:pPr>
        <w:shd w:fill="F1EFE8" w:val="clear"/>
        <w:spacing w:after="120" w:before="60"/>
      </w:pPr>
      <w:r>
        <w:rPr>
          <w:rFonts w:ascii="Consolas" w:cs="Consolas" w:eastAsia="Consolas" w:hAnsi="Consolas"/>
          <w:sz w:val="19"/>
          <w:szCs w:val="19"/>
        </w:rPr>
        <w:t xml:space="preserve">prestigeTiersClaimed     // compteur de paliers de prestige</w:t>
      </w:r>
    </w:p>
    <w:p>
      <w:pPr>
        <w:shd w:fill="F1EFE8" w:val="clear"/>
        <w:spacing w:after="120" w:before="60"/>
      </w:pPr>
      <w:r>
        <w:rPr>
          <w:rFonts w:ascii="Consolas" w:cs="Consolas" w:eastAsia="Consolas" w:hAnsi="Consolas"/>
          <w:sz w:val="19"/>
          <w:szCs w:val="19"/>
        </w:rPr>
        <w:t xml:space="preserve">lastSeasonRollover       // horodatage serveur du dernier changement de saison</w:t>
      </w:r>
    </w:p>
    <w:p>
      <w:pPr>
        <w:spacing w:after="120"/>
      </w:pPr>
      <w:r>
        <w:rPr>
          <w:i w:val="false"/>
          <w:iCs w:val="false"/>
          <w:sz w:val="21"/>
          <w:szCs w:val="21"/>
        </w:rPr>
        <w:t xml:space="preserve">Un champ de version doit être ajouté avant ces données, avec un chemin de migration défini. Ajouté aujourd’hui, c’est une modification de dix minutes. Ajouté après la mise en production, c’est une semaine de travail et des tickets de support.</w:t>
      </w:r>
    </w:p>
    <w:p>
      <w:pPr>
        <w:pStyle w:val="Heading1"/>
        <w:spacing w:after="160" w:before="360"/>
      </w:pPr>
      <w:r>
        <w:rPr>
          <w:b/>
          <w:bCs/>
          <w:color w:val="1A1A1A"/>
          <w:sz w:val="30"/>
          <w:szCs w:val="30"/>
        </w:rPr>
        <w:t xml:space="preserve">11. Points ouverts</w:t>
      </w:r>
    </w:p>
    <w:p>
      <w:pPr>
        <w:pStyle w:val="ListParagraph"/>
        <w:numPr>
          <w:ilvl w:val="0"/>
          <w:numId w:val="2"/>
        </w:numPr>
        <w:spacing w:after="60"/>
      </w:pPr>
      <w:r>
        <w:rPr>
          <w:sz w:val="21"/>
          <w:szCs w:val="21"/>
        </w:rPr>
        <w:t xml:space="preserve">Quantités exactes de récompenses — dépendent de l’équilibrage de l’économie d’invocation, non figée.</w:t>
      </w:r>
    </w:p>
    <w:p>
      <w:pPr>
        <w:pStyle w:val="ListParagraph"/>
        <w:numPr>
          <w:ilvl w:val="0"/>
          <w:numId w:val="2"/>
        </w:numPr>
        <w:spacing w:after="60"/>
      </w:pPr>
      <w:r>
        <w:rPr>
          <w:sz w:val="21"/>
          <w:szCs w:val="21"/>
        </w:rPr>
        <w:t xml:space="preserve">Durée de saison définitive — six semaines proposées, à confirmer.</w:t>
      </w:r>
    </w:p>
    <w:p>
      <w:pPr>
        <w:pStyle w:val="ListParagraph"/>
        <w:numPr>
          <w:ilvl w:val="0"/>
          <w:numId w:val="2"/>
        </w:numPr>
        <w:spacing w:after="60"/>
      </w:pPr>
      <w:r>
        <w:rPr>
          <w:sz w:val="21"/>
          <w:szCs w:val="21"/>
        </w:rPr>
        <w:t xml:space="preserve">Seuil de population déclenchant le classement.</w:t>
      </w:r>
    </w:p>
    <w:p>
      <w:pPr>
        <w:pStyle w:val="ListParagraph"/>
        <w:numPr>
          <w:ilvl w:val="0"/>
          <w:numId w:val="2"/>
        </w:numPr>
        <w:spacing w:after="60"/>
      </w:pPr>
      <w:r>
        <w:rPr>
          <w:sz w:val="21"/>
          <w:szCs w:val="21"/>
        </w:rPr>
        <w:t xml:space="preserve">Emplacement de la page de saison dans la navigation.</w:t>
      </w:r>
    </w:p>
    <w:p>
      <w:pPr>
        <w:pStyle w:val="ListParagraph"/>
        <w:numPr>
          <w:ilvl w:val="0"/>
          <w:numId w:val="2"/>
        </w:numPr>
        <w:spacing w:after="60"/>
      </w:pPr>
      <w:r>
        <w:rPr>
          <w:sz w:val="21"/>
          <w:szCs w:val="21"/>
        </w:rPr>
        <w:t xml:space="preserve">Existe-t-il une piste payante en parallèle de la piste gratuite ? Cette question touche à la monétisation et n’est pas tranchée.</w:t>
      </w:r>
    </w:p>
    <w:p>
      <w:pPr>
        <w:pStyle w:val="ListParagraph"/>
        <w:numPr>
          <w:ilvl w:val="0"/>
          <w:numId w:val="2"/>
        </w:numPr>
        <w:spacing w:after="60"/>
      </w:pPr>
      <w:r>
        <w:rPr>
          <w:sz w:val="21"/>
          <w:szCs w:val="21"/>
        </w:rPr>
        <w:t xml:space="preserve">Choix de l’infrastructure backend — bloque toute implémentation, ne bloque aucune décision de ce document.</w:t>
      </w:r>
    </w:p>
    <w:p>
      <w:pPr>
        <w:pStyle w:val="ListParagraph"/>
        <w:numPr>
          <w:ilvl w:val="0"/>
          <w:numId w:val="2"/>
        </w:numPr>
        <w:spacing w:after="60"/>
      </w:pPr>
      <w:r>
        <w:rPr>
          <w:sz w:val="21"/>
          <w:szCs w:val="21"/>
        </w:rPr>
        <w:t xml:space="preserve">Thématique de la saison 1 : une saison est-elle rattachée à un univers, à un personnage, ou purement mécanique ?</w:t>
      </w:r>
    </w:p>
    <w:p>
      <w:pPr>
        <w:pStyle w:val="Heading1"/>
        <w:spacing w:after="160" w:before="360"/>
      </w:pPr>
      <w:r>
        <w:rPr>
          <w:b/>
          <w:bCs/>
          <w:color w:val="1A1A1A"/>
          <w:sz w:val="30"/>
          <w:szCs w:val="30"/>
        </w:rPr>
        <w:t xml:space="preserve">12. Journal des décisions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shd w:fill="E1F5EE" w:val="clear"/>
            <w:tcMar>
              <w:top w:type="dxa" w:w="80"/>
              <w:left w:type="dxa" w:w="120"/>
              <w:bottom w:type="dxa" w:w="80"/>
              <w:right w:type="dxa" w:w="120"/>
            </w:tcMar>
          </w:tcPr>
          <w:p>
            <w:pPr>
              <w:jc w:val="left"/>
            </w:pPr>
            <w:r>
              <w:rPr>
                <w:b/>
                <w:bCs/>
                <w:sz w:val="19"/>
                <w:szCs w:val="19"/>
              </w:rPr>
              <w:t xml:space="preserve">Réf.</w:t>
            </w:r>
          </w:p>
        </w:tc>
        <w:tc>
          <w:tcPr>
            <w:tcW w:type="dxa" w:w="6660"/>
            <w:shd w:fill="E1F5EE" w:val="clear"/>
            <w:tcMar>
              <w:top w:type="dxa" w:w="80"/>
              <w:left w:type="dxa" w:w="120"/>
              <w:bottom w:type="dxa" w:w="80"/>
              <w:right w:type="dxa" w:w="120"/>
            </w:tcMar>
          </w:tcPr>
          <w:p>
            <w:pPr>
              <w:jc w:val="left"/>
            </w:pPr>
            <w:r>
              <w:rPr>
                <w:b/>
                <w:bCs/>
                <w:sz w:val="19"/>
                <w:szCs w:val="19"/>
              </w:rPr>
              <w:t xml:space="preserve">Décision</w:t>
            </w:r>
          </w:p>
        </w:tc>
        <w:tc>
          <w:tcPr>
            <w:tcW w:type="dxa" w:w="1800"/>
            <w:shd w:fill="E1F5EE" w:val="clear"/>
            <w:tcMar>
              <w:top w:type="dxa" w:w="80"/>
              <w:left w:type="dxa" w:w="120"/>
              <w:bottom w:type="dxa" w:w="80"/>
              <w:right w:type="dxa" w:w="120"/>
            </w:tcMar>
          </w:tcPr>
          <w:p>
            <w:pPr>
              <w:jc w:val="left"/>
            </w:pPr>
            <w:r>
              <w:rPr>
                <w:b/>
                <w:bCs/>
                <w:sz w:val="19"/>
                <w:szCs w:val="19"/>
              </w:rPr>
              <w:t xml:space="preserve">Statut</w:t>
            </w:r>
          </w:p>
        </w:tc>
      </w:tr>
      <w:tr>
        <w:tc>
          <w:tcPr>
            <w:tcW w:type="dxa" w:w="900"/>
            <w:tcMar>
              <w:top w:type="dxa" w:w="80"/>
              <w:left w:type="dxa" w:w="120"/>
              <w:bottom w:type="dxa" w:w="80"/>
              <w:right w:type="dxa" w:w="120"/>
            </w:tcMar>
          </w:tcPr>
          <w:p>
            <w:pPr>
              <w:jc w:val="left"/>
            </w:pPr>
            <w:r>
              <w:rPr>
                <w:b w:val="false"/>
                <w:bCs w:val="false"/>
                <w:sz w:val="19"/>
                <w:szCs w:val="19"/>
              </w:rPr>
              <w:t xml:space="preserve">D1</w:t>
            </w:r>
          </w:p>
        </w:tc>
        <w:tc>
          <w:tcPr>
            <w:tcW w:type="dxa" w:w="6660"/>
            <w:tcMar>
              <w:top w:type="dxa" w:w="80"/>
              <w:left w:type="dxa" w:w="120"/>
              <w:bottom w:type="dxa" w:w="80"/>
              <w:right w:type="dxa" w:w="120"/>
            </w:tcMar>
          </w:tcPr>
          <w:p>
            <w:pPr>
              <w:jc w:val="left"/>
            </w:pPr>
            <w:r>
              <w:rPr>
                <w:b w:val="false"/>
                <w:bCs w:val="false"/>
                <w:sz w:val="19"/>
                <w:szCs w:val="19"/>
              </w:rPr>
              <w:t xml:space="preserve">Modèle hybride : seuils permanents pour tous, classement additif ensuite</w:t>
            </w:r>
          </w:p>
        </w:tc>
        <w:tc>
          <w:tcPr>
            <w:tcW w:type="dxa" w:w="1800"/>
            <w:tcMar>
              <w:top w:type="dxa" w:w="80"/>
              <w:left w:type="dxa" w:w="120"/>
              <w:bottom w:type="dxa" w:w="80"/>
              <w:right w:type="dxa" w:w="120"/>
            </w:tcMar>
          </w:tcPr>
          <w:p>
            <w:pPr>
              <w:jc w:val="left"/>
            </w:pPr>
            <w:r>
              <w:rPr>
                <w:b w:val="false"/>
                <w:bCs w:val="false"/>
                <w:sz w:val="19"/>
                <w:szCs w:val="19"/>
              </w:rPr>
              <w:t xml:space="preserve">Validé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D2</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Le classement ne distribue que du prestige, jamais de la puissance</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Proposé</w:t>
            </w:r>
          </w:p>
        </w:tc>
      </w:tr>
      <w:tr>
        <w:tc>
          <w:tcPr>
            <w:tcW w:type="dxa" w:w="900"/>
            <w:tcMar>
              <w:top w:type="dxa" w:w="80"/>
              <w:left w:type="dxa" w:w="120"/>
              <w:bottom w:type="dxa" w:w="80"/>
              <w:right w:type="dxa" w:w="120"/>
            </w:tcMar>
          </w:tcPr>
          <w:p>
            <w:pPr>
              <w:jc w:val="left"/>
            </w:pPr>
            <w:r>
              <w:rPr>
                <w:b w:val="false"/>
                <w:bCs w:val="false"/>
                <w:sz w:val="19"/>
                <w:szCs w:val="19"/>
              </w:rPr>
              <w:t xml:space="preserve">D3</w:t>
            </w:r>
          </w:p>
        </w:tc>
        <w:tc>
          <w:tcPr>
            <w:tcW w:type="dxa" w:w="6660"/>
            <w:tcMar>
              <w:top w:type="dxa" w:w="80"/>
              <w:left w:type="dxa" w:w="120"/>
              <w:bottom w:type="dxa" w:w="80"/>
              <w:right w:type="dxa" w:w="120"/>
            </w:tcMar>
          </w:tcPr>
          <w:p>
            <w:pPr>
              <w:jc w:val="left"/>
            </w:pPr>
            <w:r>
              <w:rPr>
                <w:b w:val="false"/>
                <w:bCs w:val="false"/>
                <w:sz w:val="19"/>
                <w:szCs w:val="19"/>
              </w:rPr>
              <w:t xml:space="preserve">Métrique de saison distincte du record à vie</w:t>
            </w:r>
          </w:p>
        </w:tc>
        <w:tc>
          <w:tcPr>
            <w:tcW w:type="dxa" w:w="1800"/>
            <w:tcMar>
              <w:top w:type="dxa" w:w="80"/>
              <w:left w:type="dxa" w:w="120"/>
              <w:bottom w:type="dxa" w:w="80"/>
              <w:right w:type="dxa" w:w="120"/>
            </w:tcMar>
          </w:tcPr>
          <w:p>
            <w:pPr>
              <w:jc w:val="left"/>
            </w:pPr>
            <w:r>
              <w:rPr>
                <w:b w:val="false"/>
                <w:bCs w:val="false"/>
                <w:sz w:val="19"/>
                <w:szCs w:val="19"/>
              </w:rPr>
              <w:t xml:space="preserve">Proposé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D4</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Boss Rush exclu de la métrique de saison</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Proposé</w:t>
            </w:r>
          </w:p>
        </w:tc>
      </w:tr>
      <w:tr>
        <w:tc>
          <w:tcPr>
            <w:tcW w:type="dxa" w:w="900"/>
            <w:tcMar>
              <w:top w:type="dxa" w:w="80"/>
              <w:left w:type="dxa" w:w="120"/>
              <w:bottom w:type="dxa" w:w="80"/>
              <w:right w:type="dxa" w:w="120"/>
            </w:tcMar>
          </w:tcPr>
          <w:p>
            <w:pPr>
              <w:jc w:val="left"/>
            </w:pPr>
            <w:r>
              <w:rPr>
                <w:b w:val="false"/>
                <w:bCs w:val="false"/>
                <w:sz w:val="19"/>
                <w:szCs w:val="19"/>
              </w:rPr>
              <w:t xml:space="preserve">D5</w:t>
            </w:r>
          </w:p>
        </w:tc>
        <w:tc>
          <w:tcPr>
            <w:tcW w:type="dxa" w:w="6660"/>
            <w:tcMar>
              <w:top w:type="dxa" w:w="80"/>
              <w:left w:type="dxa" w:w="120"/>
              <w:bottom w:type="dxa" w:w="80"/>
              <w:right w:type="dxa" w:w="120"/>
            </w:tcMar>
          </w:tcPr>
          <w:p>
            <w:pPr>
              <w:jc w:val="left"/>
            </w:pPr>
            <w:r>
              <w:rPr>
                <w:b w:val="false"/>
                <w:bCs w:val="false"/>
                <w:sz w:val="19"/>
                <w:szCs w:val="19"/>
              </w:rPr>
              <w:t xml:space="preserve">Paliers à espacement croissant, premier palier atteignable en session 1</w:t>
            </w:r>
          </w:p>
        </w:tc>
        <w:tc>
          <w:tcPr>
            <w:tcW w:type="dxa" w:w="1800"/>
            <w:tcMar>
              <w:top w:type="dxa" w:w="80"/>
              <w:left w:type="dxa" w:w="120"/>
              <w:bottom w:type="dxa" w:w="80"/>
              <w:right w:type="dxa" w:w="120"/>
            </w:tcMar>
          </w:tcPr>
          <w:p>
            <w:pPr>
              <w:jc w:val="left"/>
            </w:pPr>
            <w:r>
              <w:rPr>
                <w:b w:val="false"/>
                <w:bCs w:val="false"/>
                <w:sz w:val="19"/>
                <w:szCs w:val="19"/>
              </w:rPr>
              <w:t xml:space="preserve">Proposé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D6</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Réclamation automatique des paliers en fin de saison</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Proposé</w:t>
            </w:r>
          </w:p>
        </w:tc>
      </w:tr>
      <w:tr>
        <w:tc>
          <w:tcPr>
            <w:tcW w:type="dxa" w:w="900"/>
            <w:tcMar>
              <w:top w:type="dxa" w:w="80"/>
              <w:left w:type="dxa" w:w="120"/>
              <w:bottom w:type="dxa" w:w="80"/>
              <w:right w:type="dxa" w:w="120"/>
            </w:tcMar>
          </w:tcPr>
          <w:p>
            <w:pPr>
              <w:jc w:val="left"/>
            </w:pPr>
            <w:r>
              <w:rPr>
                <w:b w:val="false"/>
                <w:bCs w:val="false"/>
                <w:sz w:val="19"/>
                <w:szCs w:val="19"/>
              </w:rPr>
              <w:t xml:space="preserve">D7</w:t>
            </w:r>
          </w:p>
        </w:tc>
        <w:tc>
          <w:tcPr>
            <w:tcW w:type="dxa" w:w="6660"/>
            <w:tcMar>
              <w:top w:type="dxa" w:w="80"/>
              <w:left w:type="dxa" w:w="120"/>
              <w:bottom w:type="dxa" w:w="80"/>
              <w:right w:type="dxa" w:w="120"/>
            </w:tcMar>
          </w:tcPr>
          <w:p>
            <w:pPr>
              <w:jc w:val="left"/>
            </w:pPr>
            <w:r>
              <w:rPr>
                <w:b w:val="false"/>
                <w:bCs w:val="false"/>
                <w:sz w:val="19"/>
                <w:szCs w:val="19"/>
              </w:rPr>
              <w:t xml:space="preserve">Paliers de prestige répétables au-delà du maximum</w:t>
            </w:r>
          </w:p>
        </w:tc>
        <w:tc>
          <w:tcPr>
            <w:tcW w:type="dxa" w:w="1800"/>
            <w:tcMar>
              <w:top w:type="dxa" w:w="80"/>
              <w:left w:type="dxa" w:w="120"/>
              <w:bottom w:type="dxa" w:w="80"/>
              <w:right w:type="dxa" w:w="120"/>
            </w:tcMar>
          </w:tcPr>
          <w:p>
            <w:pPr>
              <w:jc w:val="left"/>
            </w:pPr>
            <w:r>
              <w:rPr>
                <w:b w:val="false"/>
                <w:bCs w:val="false"/>
                <w:sz w:val="19"/>
                <w:szCs w:val="19"/>
              </w:rPr>
              <w:t xml:space="preserve">Proposé</w:t>
            </w:r>
          </w:p>
        </w:tc>
      </w:tr>
      <w:tr>
        <w:tc>
          <w:tcPr>
            <w:tcW w:type="dxa" w:w="900"/>
            <w:shd w:fill="F6F5F2" w:val="clear"/>
            <w:tcMar>
              <w:top w:type="dxa" w:w="80"/>
              <w:left w:type="dxa" w:w="120"/>
              <w:bottom w:type="dxa" w:w="80"/>
              <w:right w:type="dxa" w:w="120"/>
            </w:tcMar>
          </w:tcPr>
          <w:p>
            <w:pPr>
              <w:jc w:val="left"/>
            </w:pPr>
            <w:r>
              <w:rPr>
                <w:b w:val="false"/>
                <w:bCs w:val="false"/>
                <w:sz w:val="19"/>
                <w:szCs w:val="19"/>
              </w:rPr>
              <w:t xml:space="preserve">D8</w:t>
            </w:r>
          </w:p>
        </w:tc>
        <w:tc>
          <w:tcPr>
            <w:tcW w:type="dxa" w:w="6660"/>
            <w:shd w:fill="F6F5F2" w:val="clear"/>
            <w:tcMar>
              <w:top w:type="dxa" w:w="80"/>
              <w:left w:type="dxa" w:w="120"/>
              <w:bottom w:type="dxa" w:w="80"/>
              <w:right w:type="dxa" w:w="120"/>
            </w:tcMar>
          </w:tcPr>
          <w:p>
            <w:pPr>
              <w:jc w:val="left"/>
            </w:pPr>
            <w:r>
              <w:rPr>
                <w:b w:val="false"/>
                <w:bCs w:val="false"/>
                <w:sz w:val="19"/>
                <w:szCs w:val="19"/>
              </w:rPr>
              <w:t xml:space="preserve">Temps serveur obligatoire, même sans classement</w:t>
            </w:r>
          </w:p>
        </w:tc>
        <w:tc>
          <w:tcPr>
            <w:tcW w:type="dxa" w:w="1800"/>
            <w:shd w:fill="F6F5F2" w:val="clear"/>
            <w:tcMar>
              <w:top w:type="dxa" w:w="80"/>
              <w:left w:type="dxa" w:w="120"/>
              <w:bottom w:type="dxa" w:w="80"/>
              <w:right w:type="dxa" w:w="120"/>
            </w:tcMar>
          </w:tcPr>
          <w:p>
            <w:pPr>
              <w:jc w:val="left"/>
            </w:pPr>
            <w:r>
              <w:rPr>
                <w:b w:val="false"/>
                <w:bCs w:val="false"/>
                <w:sz w:val="19"/>
                <w:szCs w:val="19"/>
              </w:rPr>
              <w:t xml:space="preserve">Proposé</w:t>
            </w:r>
          </w:p>
        </w:tc>
      </w:tr>
    </w:tbl>
    <w:p>
      <w:pPr>
        <w:spacing w:after="120"/>
      </w:pPr>
      <w:r>
        <w:rPr>
          <w:i w:val="false"/>
          <w:iCs w:val="false"/>
          <w:sz w:val="21"/>
          <w:szCs w:val="21"/>
        </w:rPr>
        <w:t xml:space="preserve">Les décisions marquées « Proposé » sont des recommandations argumentées dans le corps du document. Elles passent en « Validé » après relecture.</w:t>
      </w:r>
    </w:p>
    <w:p>
      <w:pPr>
        <w:pBdr>
          <w:bottom w:val="single" w:color="D3D1C7" w:sz="6"/>
        </w:pBdr>
        <w:spacing w:after="120" w:before="120"/>
      </w:pPr>
      <w:r>
        <w:rPr>
          <w:sz w:val="2"/>
          <w:szCs w:val="2"/>
        </w:rPr>
        <w:t xml:space="preserve"/>
      </w:r>
    </w:p>
    <w:p>
      <w:pPr>
        <w:spacing w:after="120"/>
      </w:pPr>
      <w:r>
        <w:rPr>
          <w:i/>
          <w:iCs/>
          <w:sz w:val="21"/>
          <w:szCs w:val="21"/>
        </w:rPr>
        <w:t xml:space="preserve">Fin du document — v1.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saisons — document de design v1</dc:title>
  <dc:creator>Take Five Games</dc:creator>
  <cp:lastModifiedBy>Un-named</cp:lastModifiedBy>
  <cp:revision>1</cp:revision>
  <dcterms:created xsi:type="dcterms:W3CDTF">2026-07-29T09:15:43.215Z</dcterms:created>
  <dcterms:modified xsi:type="dcterms:W3CDTF">2026-07-29T09:15:43.232Z</dcterms:modified>
</cp:coreProperties>
</file>

<file path=docProps/custom.xml><?xml version="1.0" encoding="utf-8"?>
<Properties xmlns="http://schemas.openxmlformats.org/officeDocument/2006/custom-properties" xmlns:vt="http://schemas.openxmlformats.org/officeDocument/2006/docPropsVTypes"/>
</file>