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0"/>
      <w:bookmarkEnd w:id="0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bookmarkStart w:colFirst="0" w:colLast="0" w:name="_2nuf54q86v7q" w:id="1"/>
      <w:bookmarkEnd w:id="1"/>
      <w:r w:rsidDel="00000000" w:rsidR="00000000" w:rsidRPr="00000000">
        <w:rPr>
          <w:rtl w:val="0"/>
        </w:rPr>
        <w:t xml:space="preserve">Sexta-feira,31/05/2024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5e0e"/>
        </w:rPr>
      </w:pPr>
      <w:bookmarkStart w:colFirst="0" w:colLast="0" w:name="_pmazbh81wixz" w:id="2"/>
      <w:bookmarkEnd w:id="2"/>
      <w:r w:rsidDel="00000000" w:rsidR="00000000" w:rsidRPr="00000000">
        <w:rPr>
          <w:rtl w:val="0"/>
        </w:rPr>
        <w:t xml:space="preserve">1.Segurança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- Vazamento de Informações: Como o Asana é uma plataforma online, há riscos de vazamento de dados confidenciais.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   - Lei: Verificar se o Asana está em conformidade com as regulamentações de proteção de dados (LGPD).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2. Adoção e Aceitação pelos Colaboradores: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- Resistência à Mudança: Colaboradores podem resistir a mudanças nos processos de trabalho estabelecidos.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- Curva de Aprendizado: Necessidade de treinamento e adaptação ao novo sistema, o que pode ser demorado e custoso.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zh0w05mz75r" w:id="4"/>
      <w:bookmarkEnd w:id="4"/>
      <w:r w:rsidDel="00000000" w:rsidR="00000000" w:rsidRPr="00000000">
        <w:rPr>
          <w:rtl w:val="0"/>
        </w:rPr>
        <w:t xml:space="preserve">3. Dependência de Conectividade: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- Acesso à Internet: Como é um software online, problemas de conexão podem afetar o acesso e a produtividade.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- Disponibilidade do Serviço: A estabilidade e a disponibilidade da plataforma dependem do fornecedor.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84yajcu17v" w:id="5"/>
      <w:bookmarkEnd w:id="5"/>
      <w:r w:rsidDel="00000000" w:rsidR="00000000" w:rsidRPr="00000000">
        <w:rPr>
          <w:rtl w:val="0"/>
        </w:rPr>
        <w:t xml:space="preserve">4. Integração com Outros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Compatibilidade: Verificar se o Asana pode ser integrado de forma eficaz com outros sistemas e ferramentas já utilizados pela empresa.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Complexidade de Integração: Pode haver dificuldades técnicas na integração com sistemas internos.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zsavxw7qpwy" w:id="6"/>
      <w:bookmarkEnd w:id="6"/>
      <w:r w:rsidDel="00000000" w:rsidR="00000000" w:rsidRPr="00000000">
        <w:rPr>
          <w:rtl w:val="0"/>
        </w:rPr>
        <w:t xml:space="preserve">5. Custos: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Assinatura e Licenças: Os custos de assinatura para 400 colaboradores podem ser significativos.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Custos Ocultos: Custos adicionais com treinamento, adaptação de processos e suporte técnico.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gzylaeslqj95" w:id="7"/>
      <w:bookmarkEnd w:id="7"/>
      <w:r w:rsidDel="00000000" w:rsidR="00000000" w:rsidRPr="00000000">
        <w:rPr>
          <w:rtl w:val="0"/>
        </w:rPr>
        <w:t xml:space="preserve">6. Gerenciamento de Usuários e Permissões: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Controle de Acessos: Garantir que as permissões e acessos sejam configurados corretamente para proteger informações sensíveis.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Gerenciamento de Usuários: A necessidade de um gerenciamento eficaz dos usuários para manter o sistema organizado.</w:t>
      </w:r>
    </w:p>
    <w:p w:rsidR="00000000" w:rsidDel="00000000" w:rsidP="00000000" w:rsidRDefault="00000000" w:rsidRPr="00000000" w14:paraId="00000017">
      <w:pPr>
        <w:pStyle w:val="Heading1"/>
        <w:spacing w:after="240" w:before="240" w:lineRule="auto"/>
        <w:rPr/>
      </w:pPr>
      <w:bookmarkStart w:colFirst="0" w:colLast="0" w:name="_4n8tdbhvqgcr" w:id="8"/>
      <w:bookmarkEnd w:id="8"/>
      <w:r w:rsidDel="00000000" w:rsidR="00000000" w:rsidRPr="00000000">
        <w:rPr>
          <w:rtl w:val="0"/>
        </w:rPr>
        <w:t xml:space="preserve">7. Suporte e Manutenção: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Dependência de Suporte Externo: Dependência do suporte técnico da Asana para resolver problemas e realizar manutenção.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- Atualizações: Necessidade de acompanhar e se adaptar às atualizações e mudanças na plataforma.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mitigar esses riscos, é importante realizar uma análise detalhada das necessidades da empresa, treinar adequadamente os colaboradores, planejar a integração com outros sistemas, e garantir que as políticas de segurança sejam seguidas rigorosamente.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dfsys7rtua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La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Lato-regular.ttf"/><Relationship Id="rId4" Type="http://schemas.openxmlformats.org/officeDocument/2006/relationships/font" Target="fonts/Lato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Lato-italic.ttf"/><Relationship Id="rId6" Type="http://schemas.openxmlformats.org/officeDocument/2006/relationships/font" Target="fonts/Lato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