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0249" w14:textId="65275008" w:rsidR="00417FB1" w:rsidRDefault="004973EA" w:rsidP="00417FB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3D39"/>
          <w:sz w:val="21"/>
          <w:szCs w:val="21"/>
        </w:rPr>
      </w:pPr>
      <w:hyperlink r:id="rId5" w:history="1">
        <w:r w:rsidRPr="00F11391">
          <w:rPr>
            <w:rStyle w:val="Hyperlink"/>
            <w:rFonts w:ascii="Arial" w:hAnsi="Arial" w:cs="Arial"/>
            <w:sz w:val="21"/>
            <w:szCs w:val="21"/>
          </w:rPr>
          <w:t>https://www.scielo.br/j/cta/a/cLhXQCmVKbkjmdHGDDXhcsf/?lang=pt</w:t>
        </w:r>
      </w:hyperlink>
    </w:p>
    <w:p w14:paraId="3F069E42" w14:textId="3B81903D" w:rsidR="004973EA" w:rsidRDefault="004973EA" w:rsidP="00417FB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3D39"/>
          <w:sz w:val="21"/>
          <w:szCs w:val="21"/>
        </w:rPr>
      </w:pPr>
      <w:r>
        <w:rPr>
          <w:rFonts w:ascii="Arial" w:hAnsi="Arial" w:cs="Arial"/>
          <w:color w:val="403D39"/>
          <w:sz w:val="20"/>
          <w:szCs w:val="20"/>
          <w:shd w:val="clear" w:color="auto" w:fill="FFFFFF"/>
        </w:rPr>
        <w:t>TAOUKIS, P.S.; LABUZA, T.P. Applicability of time-temperature indicators as shelf-life monitors of food products. </w:t>
      </w:r>
      <w:r>
        <w:rPr>
          <w:rFonts w:ascii="Arial" w:hAnsi="Arial" w:cs="Arial"/>
          <w:b/>
          <w:bCs/>
          <w:color w:val="403D39"/>
          <w:sz w:val="20"/>
          <w:szCs w:val="20"/>
          <w:shd w:val="clear" w:color="auto" w:fill="FFFFFF"/>
        </w:rPr>
        <w:t>Journal of Food Science</w:t>
      </w:r>
    </w:p>
    <w:p w14:paraId="7D7B6072" w14:textId="6EE6B4FB" w:rsidR="00417FB1" w:rsidRDefault="00417FB1" w:rsidP="00417FB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3D39"/>
          <w:sz w:val="21"/>
          <w:szCs w:val="21"/>
        </w:rPr>
      </w:pPr>
      <w:r>
        <w:rPr>
          <w:rFonts w:ascii="Arial" w:hAnsi="Arial" w:cs="Arial"/>
          <w:color w:val="403D39"/>
          <w:sz w:val="21"/>
          <w:szCs w:val="21"/>
        </w:rPr>
        <w:t>2.8 - Sistemas monitoradores de temperatura</w:t>
      </w:r>
    </w:p>
    <w:p w14:paraId="012FE07E" w14:textId="77777777" w:rsidR="00417FB1" w:rsidRDefault="00417FB1" w:rsidP="00417FB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3D39"/>
          <w:sz w:val="21"/>
          <w:szCs w:val="21"/>
        </w:rPr>
      </w:pPr>
      <w:r>
        <w:rPr>
          <w:rFonts w:ascii="Arial" w:hAnsi="Arial" w:cs="Arial"/>
          <w:color w:val="403D39"/>
          <w:sz w:val="21"/>
          <w:szCs w:val="21"/>
        </w:rPr>
        <w:t>Constituem recursos muito úteis para se monitorar a vida-de-prateleira de alimentos. Esses indicadores fornecem uma história do produto através de integradores tempo-temperatura aos quais o alimento foi exposto, fornecendo uma indicação visual da vida-de-prateleira remanescente ou apenas uma indicação de se o tempo-temperatura total excedeu um valor pré-determinado [7, 9].</w:t>
      </w:r>
    </w:p>
    <w:p w14:paraId="24C3E49E" w14:textId="147E595F" w:rsidR="00417FB1" w:rsidRDefault="00417FB1" w:rsidP="00417FB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3D39"/>
          <w:sz w:val="21"/>
          <w:szCs w:val="21"/>
        </w:rPr>
      </w:pPr>
      <w:r>
        <w:rPr>
          <w:rFonts w:ascii="Arial" w:hAnsi="Arial" w:cs="Arial"/>
          <w:color w:val="403D39"/>
          <w:sz w:val="21"/>
          <w:szCs w:val="21"/>
        </w:rPr>
        <w:t>Os indicadores podem se basear em uma série de princípios físicos e químicos, mas são poucos os comercialmente utilizados, devido às características requeridas dos indicadores, a saber: fácil ativação e utilização; resposta rápida, precisa, irreversível, e de boa correlação com taxas de deterioração; mecanismo baseado em uma alteração facilmente mensurável, com boa reprodutibilidade e dependente de tempo e temperatura. Alguns princípios utilizados são: temperatura de fusão do gelo; taxa de difusão de um composto em géis; reações químicas dependentes de temperatura ou do grau de exposição a tempo-temperatura [16]. Entretanto, como diferentes alimentos perdem qualidade a diferentes taxas, é importante que a reação na qual se baseia o indicador tenha uma energia de ativação similar àquela que determina a deterioração do alimento em questão [20].</w:t>
      </w:r>
    </w:p>
    <w:p w14:paraId="4E3756AC" w14:textId="3C04D110" w:rsidR="009E72E2" w:rsidRDefault="009E72E2" w:rsidP="00417FB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3D39"/>
          <w:sz w:val="21"/>
          <w:szCs w:val="21"/>
        </w:rPr>
      </w:pPr>
    </w:p>
    <w:p w14:paraId="1FD51EB8" w14:textId="4E082C65" w:rsidR="009E72E2" w:rsidRDefault="009E72E2" w:rsidP="00417FB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3D39"/>
          <w:sz w:val="21"/>
          <w:szCs w:val="21"/>
        </w:rPr>
      </w:pPr>
    </w:p>
    <w:p w14:paraId="2A9BF755" w14:textId="06AC54A3" w:rsidR="009E72E2" w:rsidRDefault="00C47312" w:rsidP="00417FB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3D39"/>
          <w:sz w:val="21"/>
          <w:szCs w:val="21"/>
        </w:rPr>
      </w:pPr>
      <w:r w:rsidRPr="00C47312">
        <w:rPr>
          <w:rFonts w:ascii="Arial" w:hAnsi="Arial" w:cs="Arial"/>
          <w:color w:val="403D39"/>
          <w:sz w:val="21"/>
          <w:szCs w:val="21"/>
        </w:rPr>
        <w:t>https://peqengenhariajr.com.br/metodos-de-conservacao-de-alimentos-vida-de-prateleira/</w:t>
      </w:r>
    </w:p>
    <w:p w14:paraId="6FF4D2D8" w14:textId="77777777" w:rsidR="009E72E2" w:rsidRPr="009E72E2" w:rsidRDefault="009E72E2" w:rsidP="009E72E2">
      <w:pPr>
        <w:shd w:val="clear" w:color="auto" w:fill="FFFFFF"/>
        <w:spacing w:line="240" w:lineRule="auto"/>
        <w:outlineLvl w:val="2"/>
        <w:rPr>
          <w:rFonts w:ascii="Lato" w:eastAsia="Times New Roman" w:hAnsi="Lato" w:cs="Times New Roman"/>
          <w:b/>
          <w:bCs/>
          <w:color w:val="212121"/>
          <w:sz w:val="30"/>
          <w:szCs w:val="30"/>
          <w:lang w:eastAsia="pt-BR"/>
        </w:rPr>
      </w:pPr>
      <w:r w:rsidRPr="009E72E2">
        <w:rPr>
          <w:rFonts w:ascii="Lato" w:eastAsia="Times New Roman" w:hAnsi="Lato" w:cs="Times New Roman"/>
          <w:b/>
          <w:bCs/>
          <w:color w:val="212121"/>
          <w:sz w:val="30"/>
          <w:szCs w:val="30"/>
          <w:lang w:eastAsia="pt-BR"/>
        </w:rPr>
        <w:t>A Metodologia do Shelflife</w:t>
      </w:r>
    </w:p>
    <w:p w14:paraId="1E49986A" w14:textId="77777777" w:rsidR="009E72E2" w:rsidRPr="009E72E2" w:rsidRDefault="009E72E2" w:rsidP="009E72E2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Para se realizar a determinação de vida-de-prateleira de um produto, devemos seguir algumas etapas: primeiro, é necessário identificarmos os fatores que afetam a durabilidade do alimento a ser estudado. Depois de identificar estes fatores, fazemos um planejamento do estudo antes de partir para a etapa de realização de testes, que incluem análises sensoriais, microbiológicas e testes físicos e químicos.</w:t>
      </w:r>
    </w:p>
    <w:p w14:paraId="0868DC60" w14:textId="77777777" w:rsidR="009E72E2" w:rsidRPr="009E72E2" w:rsidRDefault="009E72E2" w:rsidP="009E72E2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Por fim, é determinada a vida de-prateleira.</w:t>
      </w:r>
    </w:p>
    <w:p w14:paraId="39DAF564" w14:textId="77777777" w:rsidR="009E72E2" w:rsidRPr="009E72E2" w:rsidRDefault="009E72E2" w:rsidP="009E72E2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 </w:t>
      </w:r>
    </w:p>
    <w:p w14:paraId="2004BEBE" w14:textId="77777777" w:rsidR="009E72E2" w:rsidRPr="009E72E2" w:rsidRDefault="009E72E2" w:rsidP="009E72E2">
      <w:pPr>
        <w:shd w:val="clear" w:color="auto" w:fill="FFFFFF"/>
        <w:spacing w:line="240" w:lineRule="auto"/>
        <w:outlineLvl w:val="2"/>
        <w:rPr>
          <w:rFonts w:ascii="Lato" w:eastAsia="Times New Roman" w:hAnsi="Lato" w:cs="Times New Roman"/>
          <w:b/>
          <w:bCs/>
          <w:color w:val="212121"/>
          <w:sz w:val="30"/>
          <w:szCs w:val="30"/>
          <w:lang w:eastAsia="pt-BR"/>
        </w:rPr>
      </w:pPr>
      <w:r w:rsidRPr="009E72E2">
        <w:rPr>
          <w:rFonts w:ascii="Lato" w:eastAsia="Times New Roman" w:hAnsi="Lato" w:cs="Times New Roman"/>
          <w:b/>
          <w:bCs/>
          <w:color w:val="212121"/>
          <w:sz w:val="30"/>
          <w:szCs w:val="30"/>
          <w:lang w:eastAsia="pt-BR"/>
        </w:rPr>
        <w:t>Etapa 1 - Identificação Dos Fatores Que Afetam A Vida-de-prateleira Do Alimento</w:t>
      </w:r>
    </w:p>
    <w:p w14:paraId="71164873" w14:textId="77777777" w:rsidR="009E72E2" w:rsidRPr="009E72E2" w:rsidRDefault="009E72E2" w:rsidP="009E72E2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Muitos fatores podem influenciar o tempo de prateleira de um produto. Então, para a metodologia Shelflife, é necessária a determinação deles. Eles são classificados em dois fatores: intrínsicos e extrínsicos.</w:t>
      </w:r>
    </w:p>
    <w:p w14:paraId="7EE66447" w14:textId="77777777" w:rsidR="009E72E2" w:rsidRPr="009E72E2" w:rsidRDefault="009E72E2" w:rsidP="009E72E2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Os fatores intrínsecos são as propriedades do alimento final, e incluem:</w:t>
      </w:r>
    </w:p>
    <w:p w14:paraId="67A1E569" w14:textId="77777777" w:rsidR="009E72E2" w:rsidRPr="009E72E2" w:rsidRDefault="009E72E2" w:rsidP="009E72E2">
      <w:pPr>
        <w:numPr>
          <w:ilvl w:val="0"/>
          <w:numId w:val="1"/>
        </w:numPr>
        <w:shd w:val="clear" w:color="auto" w:fill="FFFFFF"/>
        <w:spacing w:after="0" w:line="240" w:lineRule="auto"/>
        <w:ind w:left="180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</w:p>
    <w:p w14:paraId="48EAE375" w14:textId="77777777" w:rsidR="009E72E2" w:rsidRPr="009E72E2" w:rsidRDefault="009E72E2" w:rsidP="009E72E2">
      <w:pPr>
        <w:numPr>
          <w:ilvl w:val="1"/>
          <w:numId w:val="1"/>
        </w:numPr>
        <w:shd w:val="clear" w:color="auto" w:fill="FFFFFF"/>
        <w:spacing w:after="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</w:p>
    <w:p w14:paraId="7624D212" w14:textId="77777777" w:rsidR="009E72E2" w:rsidRPr="009E72E2" w:rsidRDefault="009E72E2" w:rsidP="009E72E2">
      <w:pPr>
        <w:numPr>
          <w:ilvl w:val="2"/>
          <w:numId w:val="1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atividade da água (aw) (água disponível);</w:t>
      </w:r>
    </w:p>
    <w:p w14:paraId="7D9C032F" w14:textId="77777777" w:rsidR="009E72E2" w:rsidRPr="009E72E2" w:rsidRDefault="009E72E2" w:rsidP="009E72E2">
      <w:pPr>
        <w:numPr>
          <w:ilvl w:val="2"/>
          <w:numId w:val="1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valor de pH e acidez total;</w:t>
      </w:r>
    </w:p>
    <w:p w14:paraId="65330BA5" w14:textId="77777777" w:rsidR="009E72E2" w:rsidRPr="009E72E2" w:rsidRDefault="009E72E2" w:rsidP="009E72E2">
      <w:pPr>
        <w:numPr>
          <w:ilvl w:val="2"/>
          <w:numId w:val="1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tipo de ácido presente;</w:t>
      </w:r>
    </w:p>
    <w:p w14:paraId="7252B698" w14:textId="77777777" w:rsidR="009E72E2" w:rsidRPr="009E72E2" w:rsidRDefault="009E72E2" w:rsidP="009E72E2">
      <w:pPr>
        <w:numPr>
          <w:ilvl w:val="2"/>
          <w:numId w:val="1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potencial de redução;</w:t>
      </w:r>
    </w:p>
    <w:p w14:paraId="6A33D682" w14:textId="77777777" w:rsidR="009E72E2" w:rsidRPr="009E72E2" w:rsidRDefault="009E72E2" w:rsidP="009E72E2">
      <w:pPr>
        <w:numPr>
          <w:ilvl w:val="2"/>
          <w:numId w:val="1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oxigênio disponível nele;</w:t>
      </w:r>
    </w:p>
    <w:p w14:paraId="61B92BA4" w14:textId="77777777" w:rsidR="009E72E2" w:rsidRPr="009E72E2" w:rsidRDefault="009E72E2" w:rsidP="009E72E2">
      <w:pPr>
        <w:numPr>
          <w:ilvl w:val="2"/>
          <w:numId w:val="1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nutrientes presentes;</w:t>
      </w:r>
    </w:p>
    <w:p w14:paraId="17CC1A6E" w14:textId="77777777" w:rsidR="009E72E2" w:rsidRPr="009E72E2" w:rsidRDefault="009E72E2" w:rsidP="009E72E2">
      <w:pPr>
        <w:numPr>
          <w:ilvl w:val="2"/>
          <w:numId w:val="1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microflora natural e contagens de microrganismos sobreviventes(bactéria, fungos)</w:t>
      </w:r>
    </w:p>
    <w:p w14:paraId="0C1EBE5D" w14:textId="77777777" w:rsidR="009E72E2" w:rsidRPr="009E72E2" w:rsidRDefault="009E72E2" w:rsidP="009E72E2">
      <w:pPr>
        <w:numPr>
          <w:ilvl w:val="2"/>
          <w:numId w:val="1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bioquímica natural da formulação do produto (enzimas, reagentes químicos usados);</w:t>
      </w:r>
    </w:p>
    <w:p w14:paraId="1279A571" w14:textId="77777777" w:rsidR="009E72E2" w:rsidRPr="009E72E2" w:rsidRDefault="009E72E2" w:rsidP="009E72E2">
      <w:pPr>
        <w:numPr>
          <w:ilvl w:val="2"/>
          <w:numId w:val="1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72E2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presença de conservantes na formulação do produto (por exemplo, sal).</w:t>
      </w:r>
    </w:p>
    <w:p w14:paraId="21D87968" w14:textId="77777777" w:rsidR="009E72E2" w:rsidRDefault="009E72E2" w:rsidP="00417FB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403D39"/>
          <w:sz w:val="21"/>
          <w:szCs w:val="21"/>
        </w:rPr>
      </w:pPr>
    </w:p>
    <w:p w14:paraId="0CB82906" w14:textId="77777777" w:rsidR="00864E2D" w:rsidRPr="00864E2D" w:rsidRDefault="00864E2D" w:rsidP="00864E2D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Os fatores extrínsecos são os fatores que o produto final encontra no armazenamento e no transporte, como:</w:t>
      </w:r>
    </w:p>
    <w:p w14:paraId="100A7A63" w14:textId="77777777" w:rsidR="00864E2D" w:rsidRPr="00864E2D" w:rsidRDefault="00864E2D" w:rsidP="00864E2D">
      <w:pPr>
        <w:numPr>
          <w:ilvl w:val="0"/>
          <w:numId w:val="2"/>
        </w:numPr>
        <w:shd w:val="clear" w:color="auto" w:fill="FFFFFF"/>
        <w:spacing w:after="0" w:line="240" w:lineRule="auto"/>
        <w:ind w:left="180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</w:p>
    <w:p w14:paraId="7D05EC12" w14:textId="77777777" w:rsidR="00864E2D" w:rsidRPr="00864E2D" w:rsidRDefault="00864E2D" w:rsidP="00864E2D">
      <w:pPr>
        <w:numPr>
          <w:ilvl w:val="1"/>
          <w:numId w:val="2"/>
        </w:numPr>
        <w:shd w:val="clear" w:color="auto" w:fill="FFFFFF"/>
        <w:spacing w:after="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</w:p>
    <w:p w14:paraId="673E7303" w14:textId="77777777" w:rsidR="00864E2D" w:rsidRPr="00864E2D" w:rsidRDefault="00864E2D" w:rsidP="00864E2D">
      <w:pPr>
        <w:numPr>
          <w:ilvl w:val="2"/>
          <w:numId w:val="2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perfil de temperatura durante o processamento e variabilidade espacial de pressão;</w:t>
      </w:r>
    </w:p>
    <w:p w14:paraId="61CF1952" w14:textId="77777777" w:rsidR="00864E2D" w:rsidRPr="00864E2D" w:rsidRDefault="00864E2D" w:rsidP="00864E2D">
      <w:pPr>
        <w:numPr>
          <w:ilvl w:val="2"/>
          <w:numId w:val="2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controle de temperatura durante o armazenamento e distribuição;</w:t>
      </w:r>
    </w:p>
    <w:p w14:paraId="610B59D2" w14:textId="77777777" w:rsidR="00864E2D" w:rsidRPr="00864E2D" w:rsidRDefault="00864E2D" w:rsidP="00864E2D">
      <w:pPr>
        <w:numPr>
          <w:ilvl w:val="2"/>
          <w:numId w:val="2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umidade relativa (UR) durante o processamento, armazenamento e distribuição;</w:t>
      </w:r>
    </w:p>
    <w:p w14:paraId="0B81B0DF" w14:textId="77777777" w:rsidR="00864E2D" w:rsidRPr="00864E2D" w:rsidRDefault="00864E2D" w:rsidP="00864E2D">
      <w:pPr>
        <w:numPr>
          <w:ilvl w:val="2"/>
          <w:numId w:val="2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exposição à luz (UV e IV) durante o processamento, armazenamento e distribuição;</w:t>
      </w:r>
    </w:p>
    <w:p w14:paraId="096B1DDA" w14:textId="77777777" w:rsidR="00864E2D" w:rsidRPr="00864E2D" w:rsidRDefault="00864E2D" w:rsidP="00864E2D">
      <w:pPr>
        <w:numPr>
          <w:ilvl w:val="2"/>
          <w:numId w:val="2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contagem microbiana ambiental durante o processamento, armazenamento e distribuição;</w:t>
      </w:r>
    </w:p>
    <w:p w14:paraId="6D64E891" w14:textId="77777777" w:rsidR="00864E2D" w:rsidRPr="00864E2D" w:rsidRDefault="00864E2D" w:rsidP="00864E2D">
      <w:pPr>
        <w:numPr>
          <w:ilvl w:val="2"/>
          <w:numId w:val="2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composição da atmosfera dentro das embalagens;</w:t>
      </w:r>
    </w:p>
    <w:p w14:paraId="533B019A" w14:textId="77777777" w:rsidR="00864E2D" w:rsidRPr="00864E2D" w:rsidRDefault="00864E2D" w:rsidP="00864E2D">
      <w:pPr>
        <w:numPr>
          <w:ilvl w:val="2"/>
          <w:numId w:val="2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lastRenderedPageBreak/>
        <w:t>tratamento térmico posterior (por exemplo, re-aquecendo ou cozinhando antes do consumo);</w:t>
      </w:r>
    </w:p>
    <w:p w14:paraId="19B965C3" w14:textId="77777777" w:rsidR="00864E2D" w:rsidRPr="00864E2D" w:rsidRDefault="00864E2D" w:rsidP="00864E2D">
      <w:pPr>
        <w:numPr>
          <w:ilvl w:val="2"/>
          <w:numId w:val="2"/>
        </w:num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manuseio do consumidor</w:t>
      </w:r>
    </w:p>
    <w:p w14:paraId="7881A422" w14:textId="77777777" w:rsidR="00864E2D" w:rsidRPr="00864E2D" w:rsidRDefault="00864E2D" w:rsidP="00864E2D">
      <w:pPr>
        <w:shd w:val="clear" w:color="auto" w:fill="FFFFFF"/>
        <w:spacing w:after="360" w:line="240" w:lineRule="auto"/>
        <w:ind w:left="2880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864E2D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​</w:t>
      </w:r>
    </w:p>
    <w:p w14:paraId="257F88BA" w14:textId="18A698FD" w:rsidR="00F81931" w:rsidRDefault="00D53DFE">
      <w:pPr>
        <w:rPr>
          <w:rFonts w:ascii="Lato" w:hAnsi="Lato"/>
          <w:color w:val="4D4D4D"/>
          <w:shd w:val="clear" w:color="auto" w:fill="FFFFFF"/>
        </w:rPr>
      </w:pPr>
      <w:r>
        <w:rPr>
          <w:rFonts w:ascii="Lato" w:hAnsi="Lato"/>
          <w:color w:val="4D4D4D"/>
          <w:shd w:val="clear" w:color="auto" w:fill="FFFFFF"/>
        </w:rPr>
        <w:t>A Temperatura de armazenamento é geralmente considerada um fator determinante com relação a durabilidade, porque afeta consideravelmente a velocidade das reações que ocorrem após a produção, durante o manuseio, distribuição e estocagem. Em geral, quanto mais elevada, maior será a velocidade da multiplicação microbiana.</w:t>
      </w:r>
    </w:p>
    <w:p w14:paraId="4A47D709" w14:textId="411145CB" w:rsidR="009E6710" w:rsidRDefault="009E6710">
      <w:pPr>
        <w:rPr>
          <w:rFonts w:ascii="Lato" w:hAnsi="Lato"/>
          <w:color w:val="4D4D4D"/>
          <w:shd w:val="clear" w:color="auto" w:fill="FFFFFF"/>
        </w:rPr>
      </w:pPr>
    </w:p>
    <w:p w14:paraId="4D100A97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lguns pontos devem ser levados em consideração ao se planejar o estudo de Shelflife:</w:t>
      </w:r>
    </w:p>
    <w:p w14:paraId="7B732B9A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b/>
          <w:bCs/>
          <w:color w:val="4D4D4D"/>
          <w:sz w:val="24"/>
          <w:szCs w:val="24"/>
          <w:lang w:eastAsia="pt-BR"/>
        </w:rPr>
        <w:t>1–</w:t>
      </w: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 Quais testes devem ser realizados;</w:t>
      </w:r>
    </w:p>
    <w:p w14:paraId="0C5CB09B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b/>
          <w:bCs/>
          <w:color w:val="4D4D4D"/>
          <w:sz w:val="24"/>
          <w:szCs w:val="24"/>
          <w:lang w:eastAsia="pt-BR"/>
        </w:rPr>
        <w:t>2-</w:t>
      </w: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 Qual será a duração do estudo e com que frequência as amostras serão analisadas;</w:t>
      </w:r>
    </w:p>
    <w:p w14:paraId="5AEFCEF2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b/>
          <w:bCs/>
          <w:color w:val="4D4D4D"/>
          <w:sz w:val="24"/>
          <w:szCs w:val="24"/>
          <w:lang w:eastAsia="pt-BR"/>
        </w:rPr>
        <w:t>3-</w:t>
      </w: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 Quantas amostras serão necessárias para cada teste;</w:t>
      </w:r>
    </w:p>
    <w:p w14:paraId="3CE3134C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b/>
          <w:bCs/>
          <w:color w:val="4D4D4D"/>
          <w:sz w:val="24"/>
          <w:szCs w:val="24"/>
          <w:lang w:eastAsia="pt-BR"/>
        </w:rPr>
        <w:t>4- </w:t>
      </w: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Quantas amostras serão necessárias ao total do estudo de vida-de-prateleira;</w:t>
      </w:r>
    </w:p>
    <w:p w14:paraId="6E682E56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b/>
          <w:bCs/>
          <w:color w:val="4D4D4D"/>
          <w:sz w:val="24"/>
          <w:szCs w:val="24"/>
          <w:lang w:eastAsia="pt-BR"/>
        </w:rPr>
        <w:t>5–</w:t>
      </w: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 Em que momento o estudo será realizado. Idealmente ele deve ocorrer em uma estação do ano com maior probabilidade de surgimento de problemas, geralmente, no verão. O estudo deve ser feito mais de uma vez para que se leve em conta a variabilidade do produto e suas matérias-primas. É necessário que se escolha o pior cenário possível para a realização dos testes, assim o prazo de vida-de-prateleira estipulado poderá ser considerado seguro em quaisquer outras circunstâncias;</w:t>
      </w:r>
    </w:p>
    <w:p w14:paraId="2DC69061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De modo geral, podemos considerar os seguintes protocolos para se fazer o planejamento do estudo de vida-de-prateleira:</w:t>
      </w:r>
    </w:p>
    <w:p w14:paraId="359DABE3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b/>
          <w:bCs/>
          <w:color w:val="4D4D4D"/>
          <w:sz w:val="24"/>
          <w:szCs w:val="24"/>
          <w:lang w:eastAsia="pt-BR"/>
        </w:rPr>
        <w:t>Produtos com curta vida-de-prateleira:</w:t>
      </w: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 No caso de alimentos refrigerados com vida-de-prateleira de até uma semana (como por exemplo, refeições prontas para consumo), amostras podem ser analisadas diariamente (MAN, 2002).</w:t>
      </w:r>
    </w:p>
    <w:p w14:paraId="7CD7E459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b/>
          <w:bCs/>
          <w:color w:val="4D4D4D"/>
          <w:sz w:val="24"/>
          <w:szCs w:val="24"/>
          <w:lang w:eastAsia="pt-BR"/>
        </w:rPr>
        <w:t>Produtos com média vida-de-prateleira:</w:t>
      </w: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 Para produtos com vida-de-prateleira de até três semanas (por exemplo, bolos e massas), amostras podem ser coletadas e analisadas nos dias 0, 7, 14, 19, 21 e 25.</w:t>
      </w:r>
    </w:p>
    <w:p w14:paraId="01603614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b/>
          <w:bCs/>
          <w:color w:val="4D4D4D"/>
          <w:sz w:val="24"/>
          <w:szCs w:val="24"/>
          <w:lang w:eastAsia="pt-BR"/>
        </w:rPr>
        <w:lastRenderedPageBreak/>
        <w:t>Produtos com longa vida-de-prateleira:</w:t>
      </w: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 No caso de produtos com vida-de-prateleira de até um ano (como por exemplo, cereais matinais e alimentos processados termicamente), amostras podem ser coletadas e analisadas em intervalos mensais, ou nos meses 0, 1, 2, 3, 6, 12 e 18. A frequência correta irá depender de cada produto.</w:t>
      </w:r>
    </w:p>
    <w:p w14:paraId="63074799" w14:textId="77777777" w:rsidR="009E6710" w:rsidRPr="009E6710" w:rsidRDefault="009E6710" w:rsidP="009E6710">
      <w:pPr>
        <w:shd w:val="clear" w:color="auto" w:fill="FFFFFF"/>
        <w:spacing w:after="360" w:line="240" w:lineRule="auto"/>
        <w:jc w:val="both"/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</w:pPr>
      <w:r w:rsidRPr="009E6710">
        <w:rPr>
          <w:rFonts w:ascii="Lato" w:eastAsia="Times New Roman" w:hAnsi="Lato" w:cs="Times New Roman"/>
          <w:color w:val="4D4D4D"/>
          <w:sz w:val="24"/>
          <w:szCs w:val="24"/>
          <w:lang w:eastAsia="pt-BR"/>
        </w:rPr>
        <w:t>É importante que o produto, seu processamento e sua embalagem sejam sempre os mesmos. Devem ser mantidos registros escritos dos testes ao longo de toda a vida-de-prateleira.</w:t>
      </w:r>
    </w:p>
    <w:p w14:paraId="4EAF4833" w14:textId="081CE2EF" w:rsidR="009E6710" w:rsidRDefault="009E6710"/>
    <w:p w14:paraId="573AA5A4" w14:textId="7FF174F8" w:rsidR="00717216" w:rsidRDefault="00717216"/>
    <w:p w14:paraId="4F24FFB7" w14:textId="77777777" w:rsidR="00717216" w:rsidRDefault="00717216" w:rsidP="00717216">
      <w:pPr>
        <w:pStyle w:val="Ttulo3"/>
        <w:shd w:val="clear" w:color="auto" w:fill="FFFFFF"/>
        <w:spacing w:before="0" w:beforeAutospacing="0" w:after="0" w:afterAutospacing="0"/>
        <w:rPr>
          <w:rFonts w:ascii="Lato" w:hAnsi="Lato"/>
          <w:color w:val="212121"/>
          <w:sz w:val="30"/>
          <w:szCs w:val="30"/>
        </w:rPr>
      </w:pPr>
      <w:r>
        <w:rPr>
          <w:rFonts w:ascii="Lato" w:hAnsi="Lato"/>
          <w:color w:val="212121"/>
          <w:sz w:val="30"/>
          <w:szCs w:val="30"/>
        </w:rPr>
        <w:t>Etapa 3 - Testes A Serem Realizados</w:t>
      </w:r>
    </w:p>
    <w:p w14:paraId="5972DC5B" w14:textId="77777777" w:rsidR="00717216" w:rsidRDefault="00717216" w:rsidP="00717216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Testes adequados devem ser selecionados para determinar a segurança e a qualidade do produto. Em geral, testes de vida-de-prateleira podem ser divididos em quatro categorias e serem realizadas na seguinte ordem: análises químicas, físicas, microbiológicas e sensoriais.</w:t>
      </w:r>
    </w:p>
    <w:p w14:paraId="267C76D6" w14:textId="77777777" w:rsidR="00717216" w:rsidRDefault="00717216" w:rsidP="00717216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 </w:t>
      </w:r>
    </w:p>
    <w:p w14:paraId="0FE7B92D" w14:textId="77777777" w:rsidR="00717216" w:rsidRDefault="00717216" w:rsidP="00717216">
      <w:pPr>
        <w:pStyle w:val="Ttulo3"/>
        <w:shd w:val="clear" w:color="auto" w:fill="FFFFFF"/>
        <w:spacing w:before="0" w:beforeAutospacing="0" w:after="0" w:afterAutospacing="0"/>
        <w:rPr>
          <w:rFonts w:ascii="Lato" w:hAnsi="Lato"/>
          <w:color w:val="2B3C4D"/>
          <w:sz w:val="29"/>
          <w:szCs w:val="29"/>
        </w:rPr>
      </w:pPr>
      <w:r>
        <w:rPr>
          <w:rFonts w:ascii="Lato" w:hAnsi="Lato"/>
          <w:color w:val="2B3C4D"/>
          <w:sz w:val="29"/>
          <w:szCs w:val="29"/>
        </w:rPr>
        <w:t>Análise Sensorial</w:t>
      </w:r>
    </w:p>
    <w:p w14:paraId="47B7A71F" w14:textId="77777777" w:rsidR="00717216" w:rsidRDefault="00717216" w:rsidP="00717216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Na avaliação sensorial as características como cheiro, aparência, sabor e textura do produto são testados. Assim podemos avaliar a aceitação de um produto, observar as mudanças na matéria-prima e nos processos de fabricação ou avaliar sua preferência em relação a outros. Esta avaliação pode ser utilizada para monitorar e registrar mudanças que ocorrem ao longo do tempo, por isso, os testes sensoriais são muito importantes para a determinação da vida-de-prateleira de alimentos. O alimento deve ser avaliado sob as condições nas quais ele é estocado e consumido.</w:t>
      </w:r>
    </w:p>
    <w:p w14:paraId="53E59E9A" w14:textId="77777777" w:rsidR="002D238B" w:rsidRDefault="002D238B" w:rsidP="002D238B">
      <w:pPr>
        <w:pStyle w:val="Ttulo3"/>
        <w:shd w:val="clear" w:color="auto" w:fill="FFFFFF"/>
        <w:spacing w:before="0" w:beforeAutospacing="0" w:after="0" w:afterAutospacing="0"/>
        <w:rPr>
          <w:rFonts w:ascii="Lato" w:hAnsi="Lato"/>
          <w:color w:val="2B3C4D"/>
          <w:sz w:val="29"/>
          <w:szCs w:val="29"/>
        </w:rPr>
      </w:pPr>
      <w:r>
        <w:rPr>
          <w:rFonts w:ascii="Lato" w:hAnsi="Lato"/>
          <w:color w:val="2B3C4D"/>
          <w:sz w:val="29"/>
          <w:szCs w:val="29"/>
        </w:rPr>
        <w:t>Análises Físicas</w:t>
      </w:r>
    </w:p>
    <w:p w14:paraId="2B0267F1" w14:textId="77777777" w:rsidR="002D238B" w:rsidRDefault="002D238B" w:rsidP="002D238B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As análises físicas incluem analisar do estado da embalagem. A análise da embalagem é feita visualmente onde se procura por pontos de ruptura ou partes amassadas. Estas avaliações devem ser feitas para identificar danos que possam ocorrer na embalagem durante transporte e manuseio.</w:t>
      </w:r>
    </w:p>
    <w:p w14:paraId="48BFD239" w14:textId="77777777" w:rsidR="002D238B" w:rsidRDefault="002D238B" w:rsidP="002D238B">
      <w:pPr>
        <w:pStyle w:val="Ttulo3"/>
        <w:shd w:val="clear" w:color="auto" w:fill="FFFFFF"/>
        <w:spacing w:before="0" w:beforeAutospacing="0" w:after="0" w:afterAutospacing="0"/>
        <w:rPr>
          <w:rFonts w:ascii="Lato" w:hAnsi="Lato"/>
          <w:color w:val="212121"/>
          <w:sz w:val="30"/>
          <w:szCs w:val="30"/>
        </w:rPr>
      </w:pPr>
      <w:r>
        <w:rPr>
          <w:rFonts w:ascii="Lato" w:hAnsi="Lato"/>
          <w:color w:val="212121"/>
          <w:sz w:val="30"/>
          <w:szCs w:val="30"/>
        </w:rPr>
        <w:t>Etapa 3 - Testes A Serem Realizados</w:t>
      </w:r>
    </w:p>
    <w:p w14:paraId="01F0AFE6" w14:textId="77777777" w:rsidR="002D238B" w:rsidRDefault="002D238B" w:rsidP="002D238B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Usando as informações coletadas e observadas, deve-se decidir por quanto tempo o produto pode ser mantido com segurança e qualidade aceitáveis. Os tempos máximos aceitáveis para qualidade e segurança podem não ser os mesmos.</w:t>
      </w:r>
    </w:p>
    <w:p w14:paraId="0998C035" w14:textId="77777777" w:rsidR="002D238B" w:rsidRDefault="002D238B" w:rsidP="002D238B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 xml:space="preserve">Desta forma, a vida-de-prateleira será definida pelo tempo mais curto. O profissional que irá determinar a vida-de-prateleira deve saber quais são as características de qualidade do produto e, idealmente, conhecer os mecanismos </w:t>
      </w:r>
      <w:r>
        <w:rPr>
          <w:rFonts w:ascii="Lato" w:hAnsi="Lato"/>
          <w:color w:val="4D4D4D"/>
        </w:rPr>
        <w:lastRenderedPageBreak/>
        <w:t>de deterioração que podem afetar estas características, diminuindo a aceitação do produto.</w:t>
      </w:r>
    </w:p>
    <w:p w14:paraId="441266D4" w14:textId="77777777" w:rsidR="002D238B" w:rsidRDefault="002D238B" w:rsidP="002D238B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Seguindo estes passos pode-se obter um tempo de vida-de-prateleira baseado nas condições ideais de estocagem, porém é necessário que se considere as condições “reais”, onde as condições de estocagem podem variar e vida-de-prateleira não será a mesma.</w:t>
      </w:r>
    </w:p>
    <w:p w14:paraId="10FFBEFB" w14:textId="3536974D" w:rsidR="002D238B" w:rsidRDefault="002D238B" w:rsidP="002D238B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 </w:t>
      </w:r>
    </w:p>
    <w:p w14:paraId="3359A691" w14:textId="77777777" w:rsidR="00FB7217" w:rsidRDefault="00FB7217" w:rsidP="00FB7217">
      <w:pPr>
        <w:pStyle w:val="Ttulo3"/>
        <w:shd w:val="clear" w:color="auto" w:fill="FFFFFF"/>
        <w:spacing w:before="0" w:beforeAutospacing="0" w:after="0" w:afterAutospacing="0"/>
        <w:rPr>
          <w:rFonts w:ascii="Lato" w:hAnsi="Lato"/>
          <w:color w:val="212121"/>
          <w:sz w:val="30"/>
          <w:szCs w:val="30"/>
        </w:rPr>
      </w:pPr>
      <w:r>
        <w:rPr>
          <w:rFonts w:ascii="Lato" w:hAnsi="Lato"/>
          <w:color w:val="212121"/>
          <w:sz w:val="30"/>
          <w:szCs w:val="30"/>
        </w:rPr>
        <w:t>Etapa 5 – Monitoramento</w:t>
      </w:r>
    </w:p>
    <w:p w14:paraId="1157E571" w14:textId="77777777" w:rsidR="00FB7217" w:rsidRDefault="00FB7217" w:rsidP="00FB7217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As amostras devem ser testadas em relação aos fatores que foram considerados mais importantes para o produto em questão, como por exemplo, acidez, perda de sabor, nível de deterioração por microrganismos, etc. Se os testes mostrarem que o prazo preliminar está incorreto, deve-se fazer um ajuste.</w:t>
      </w:r>
    </w:p>
    <w:p w14:paraId="7409CE94" w14:textId="77777777" w:rsidR="00FB7217" w:rsidRDefault="00FB7217" w:rsidP="00FB7217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Também é de extrema importância que o estudo de vida-de-prateleira seja repetido depois que quaisquer mudanças forem feitas na produção, no ambiente de processamento ou na formulação do produto.</w:t>
      </w:r>
    </w:p>
    <w:p w14:paraId="3746FC40" w14:textId="77777777" w:rsidR="00FB7217" w:rsidRDefault="00FB7217" w:rsidP="00FB7217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O monitoramento do produto deve ser feito continuamente para assegurar sua segurança e qualidade ao longo de toda a vida-de-prateleira.</w:t>
      </w:r>
      <w:r>
        <w:rPr>
          <w:rFonts w:ascii="Arial" w:hAnsi="Arial" w:cs="Arial"/>
          <w:color w:val="4D4D4D"/>
        </w:rPr>
        <w:t>​</w:t>
      </w:r>
    </w:p>
    <w:p w14:paraId="39480016" w14:textId="77777777" w:rsidR="00FB7217" w:rsidRDefault="00FB7217" w:rsidP="00FB7217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Por fim, realizar um estudo e determinação de vida-de-prateleira de um produto vai muito além de apenas se especificar um prazo de validade a ser informado na embalagem.</w:t>
      </w:r>
    </w:p>
    <w:p w14:paraId="1A3827DB" w14:textId="77777777" w:rsidR="00FB7217" w:rsidRDefault="00FB7217" w:rsidP="00FB7217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Realizar o estudo de vida-de-prateleira significa obter o total conhecimento das propriedades do alimento (incluindo quais são seus componentes, seus nutrientes, sua acidez, sua qualidade microbiológica, entre outros), obter o completo conhecimento das reações que nele ocorrem ao longo do tempo e também o entendimento de como o meio em que este alimento está estocado pode afetar sua qualidade.</w:t>
      </w:r>
    </w:p>
    <w:p w14:paraId="775DCA8E" w14:textId="77777777" w:rsidR="00FB7217" w:rsidRDefault="00FB7217" w:rsidP="00FB7217">
      <w:pPr>
        <w:pStyle w:val="tvealignjustify"/>
        <w:shd w:val="clear" w:color="auto" w:fill="FFFFFF"/>
        <w:spacing w:before="0" w:beforeAutospacing="0" w:after="360" w:afterAutospacing="0"/>
        <w:jc w:val="both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E assim, com todo esse estudo, você pode saber também o que fazer para aumentar a durabilidade do seu produto.</w:t>
      </w:r>
    </w:p>
    <w:p w14:paraId="6D21399D" w14:textId="77777777" w:rsidR="00717216" w:rsidRDefault="00717216"/>
    <w:sectPr w:rsidR="0071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464"/>
    <w:multiLevelType w:val="multilevel"/>
    <w:tmpl w:val="40C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10490"/>
    <w:multiLevelType w:val="multilevel"/>
    <w:tmpl w:val="78B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5353438">
    <w:abstractNumId w:val="1"/>
  </w:num>
  <w:num w:numId="2" w16cid:durableId="143432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FC"/>
    <w:rsid w:val="000F378F"/>
    <w:rsid w:val="001D7207"/>
    <w:rsid w:val="002D238B"/>
    <w:rsid w:val="00417FB1"/>
    <w:rsid w:val="004973EA"/>
    <w:rsid w:val="00717216"/>
    <w:rsid w:val="00864E2D"/>
    <w:rsid w:val="009E6710"/>
    <w:rsid w:val="009E72E2"/>
    <w:rsid w:val="00AC11FC"/>
    <w:rsid w:val="00BB03DE"/>
    <w:rsid w:val="00C47312"/>
    <w:rsid w:val="00D53DFE"/>
    <w:rsid w:val="00F81931"/>
    <w:rsid w:val="00FB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187A"/>
  <w15:chartTrackingRefBased/>
  <w15:docId w15:val="{B0572386-F30F-4AFA-9490-8E15CD64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E7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73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73EA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E72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vealignjustify">
    <w:name w:val="tvealignjustify"/>
    <w:basedOn w:val="Normal"/>
    <w:rsid w:val="009E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6710"/>
    <w:rPr>
      <w:b/>
      <w:bCs/>
    </w:rPr>
  </w:style>
  <w:style w:type="character" w:customStyle="1" w:styleId="boldtext">
    <w:name w:val="bold_text"/>
    <w:basedOn w:val="Fontepargpadro"/>
    <w:rsid w:val="009E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2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7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7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4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97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0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984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5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3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lo.br/j/cta/a/cLhXQCmVKbkjmdHGDDXhcsf/?lang=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1420</Words>
  <Characters>7668</Characters>
  <Application>Microsoft Office Word</Application>
  <DocSecurity>0</DocSecurity>
  <Lines>63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RIBEIRO</dc:creator>
  <cp:keywords/>
  <dc:description/>
  <cp:lastModifiedBy>ARTHUR JACINTHO DE OLIVEIRA SANTOS</cp:lastModifiedBy>
  <cp:revision>3</cp:revision>
  <dcterms:created xsi:type="dcterms:W3CDTF">2022-04-01T22:00:00Z</dcterms:created>
  <dcterms:modified xsi:type="dcterms:W3CDTF">2022-04-06T01:46:00Z</dcterms:modified>
</cp:coreProperties>
</file>