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9613" w14:textId="052FF144" w:rsidR="00DB79F3" w:rsidRDefault="000667F5" w:rsidP="000667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计算股票累计超额收益率</w:t>
      </w:r>
    </w:p>
    <w:bookmarkStart w:id="1" w:name="_Hlk37182443"/>
    <w:p w14:paraId="3547618B" w14:textId="583058FB" w:rsidR="000667F5" w:rsidRPr="000667F5" w:rsidRDefault="001153AD" w:rsidP="000667F5">
      <w:pPr>
        <w:pStyle w:val="a3"/>
        <w:spacing w:line="360" w:lineRule="auto"/>
        <w:ind w:left="420" w:firstLineChars="0" w:firstLine="0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CAR</m:t>
              </m:r>
            </m:e>
            <m:sub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i</m:t>
              </m:r>
            </m:sub>
          </m:sSub>
          <w:bookmarkEnd w:id="1"/>
          <m:r>
            <w:rPr>
              <w:rFonts w:ascii="Cambria Math" w:eastAsia="黑体" w:hAnsi="Cambria Math" w:hint="eastAsia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t=-T</m:t>
              </m:r>
            </m:sub>
            <m:sup>
              <m:r>
                <w:rPr>
                  <w:rFonts w:ascii="Cambria Math" w:eastAsia="黑体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+1)</m:t>
              </m:r>
            </m:e>
          </m:nary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t=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黑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黑体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（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hint="eastAsia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+1</m:t>
              </m:r>
              <m:r>
                <w:rPr>
                  <w:rFonts w:ascii="Cambria Math" w:eastAsia="黑体" w:hAnsi="Cambria Math" w:hint="eastAsia"/>
                  <w:sz w:val="24"/>
                  <w:szCs w:val="24"/>
                </w:rPr>
                <m:t>）</m:t>
              </m:r>
            </m:e>
          </m:nary>
        </m:oMath>
      </m:oMathPara>
    </w:p>
    <w:p w14:paraId="51D26C53" w14:textId="01AEAF5F" w:rsidR="000667F5" w:rsidRDefault="000667F5" w:rsidP="000667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分别选出牛市和熊市中C</w:t>
      </w:r>
      <w:r>
        <w:rPr>
          <w:rFonts w:ascii="黑体" w:eastAsia="黑体" w:hAnsi="黑体"/>
          <w:sz w:val="24"/>
          <w:szCs w:val="24"/>
        </w:rPr>
        <w:t>AR</w:t>
      </w:r>
      <w:r>
        <w:rPr>
          <w:rFonts w:ascii="黑体" w:eastAsia="黑体" w:hAnsi="黑体" w:hint="eastAsia"/>
          <w:sz w:val="24"/>
          <w:szCs w:val="24"/>
        </w:rPr>
        <w:t>值排在前1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%和后1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%的股票，分别构成Winner组合和Loser组合</w:t>
      </w:r>
    </w:p>
    <w:p w14:paraId="06C900E5" w14:textId="1C1A77C9" w:rsidR="000667F5" w:rsidRDefault="0040553B" w:rsidP="00405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计算每个子区间中</w:t>
      </w:r>
      <w:r>
        <w:rPr>
          <w:rFonts w:ascii="黑体" w:eastAsia="黑体" w:hAnsi="黑体"/>
          <w:sz w:val="24"/>
          <w:szCs w:val="24"/>
        </w:rPr>
        <w:t>W</w:t>
      </w:r>
      <w:r>
        <w:rPr>
          <w:rFonts w:ascii="黑体" w:eastAsia="黑体" w:hAnsi="黑体" w:hint="eastAsia"/>
          <w:sz w:val="24"/>
          <w:szCs w:val="24"/>
        </w:rPr>
        <w:t>组合和L组合第</w:t>
      </w:r>
      <w:r>
        <w:rPr>
          <w:rFonts w:ascii="黑体" w:eastAsia="黑体" w:hAnsi="黑体"/>
          <w:sz w:val="24"/>
          <w:szCs w:val="24"/>
        </w:rPr>
        <w:t>t</w:t>
      </w:r>
      <w:proofErr w:type="gramStart"/>
      <w:r w:rsidRPr="0040553B">
        <w:rPr>
          <w:rFonts w:ascii="黑体" w:eastAsia="黑体" w:hAnsi="黑体" w:hint="eastAsia"/>
          <w:sz w:val="24"/>
          <w:szCs w:val="24"/>
        </w:rPr>
        <w:t>个</w:t>
      </w:r>
      <w:proofErr w:type="gramEnd"/>
      <w:r w:rsidRPr="0040553B">
        <w:rPr>
          <w:rFonts w:ascii="黑体" w:eastAsia="黑体" w:hAnsi="黑体" w:hint="eastAsia"/>
          <w:sz w:val="24"/>
          <w:szCs w:val="24"/>
        </w:rPr>
        <w:t>月的累计超额收益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W,n,t</m:t>
            </m:r>
          </m:sub>
        </m:sSub>
        <m:r>
          <w:rPr>
            <w:rFonts w:ascii="Cambria Math" w:eastAsia="黑体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L,n,t</m:t>
            </m:r>
          </m:sub>
        </m:sSub>
      </m:oMath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（组合内所有股票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CAR</m:t>
            </m:r>
          </m:e>
          <m:sub>
            <m:r>
              <w:rPr>
                <w:rFonts w:ascii="Cambria Math" w:eastAsia="黑体" w:hAnsi="Cambria Math" w:hint="eastAsia"/>
                <w:sz w:val="24"/>
                <w:szCs w:val="24"/>
              </w:rPr>
              <m:t>i</m:t>
            </m:r>
            <m:r>
              <w:rPr>
                <w:rFonts w:ascii="Cambria Math" w:eastAsia="黑体" w:hAnsi="Cambria Math"/>
                <w:sz w:val="24"/>
                <w:szCs w:val="24"/>
              </w:rPr>
              <m:t>,n,t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的平均）</w:t>
      </w:r>
    </w:p>
    <w:p w14:paraId="3E720BB3" w14:textId="744D0507" w:rsidR="0040553B" w:rsidRDefault="0040553B" w:rsidP="0040553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计算N个子区间的</w:t>
      </w:r>
      <w:r w:rsidR="006D787B">
        <w:rPr>
          <w:rFonts w:ascii="黑体" w:eastAsia="黑体" w:hAnsi="黑体" w:hint="eastAsia"/>
          <w:sz w:val="24"/>
          <w:szCs w:val="24"/>
        </w:rPr>
        <w:t>1至</w:t>
      </w:r>
      <w:r>
        <w:rPr>
          <w:rFonts w:ascii="黑体" w:eastAsia="黑体" w:hAnsi="黑体"/>
          <w:sz w:val="24"/>
          <w:szCs w:val="24"/>
        </w:rPr>
        <w:t>T</w:t>
      </w:r>
      <w:proofErr w:type="gramStart"/>
      <w:r>
        <w:rPr>
          <w:rFonts w:ascii="黑体" w:eastAsia="黑体" w:hAnsi="黑体" w:hint="eastAsia"/>
          <w:sz w:val="24"/>
          <w:szCs w:val="24"/>
        </w:rPr>
        <w:t>个</w:t>
      </w:r>
      <w:proofErr w:type="gramEnd"/>
      <w:r>
        <w:rPr>
          <w:rFonts w:ascii="黑体" w:eastAsia="黑体" w:hAnsi="黑体" w:hint="eastAsia"/>
          <w:sz w:val="24"/>
          <w:szCs w:val="24"/>
        </w:rPr>
        <w:t>月的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W,n,t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和</w:t>
      </w:r>
      <m:oMath>
        <m:r>
          <w:rPr>
            <w:rFonts w:ascii="Cambria Math" w:eastAsia="黑体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L,n,t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平均值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ACAR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W,t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和</m:t>
            </m:r>
            <m:r>
              <w:rPr>
                <w:rFonts w:ascii="Cambria Math" w:eastAsia="黑体" w:hAnsi="Cambria Math"/>
                <w:sz w:val="24"/>
                <w:szCs w:val="24"/>
              </w:rPr>
              <m:t xml:space="preserve"> ACAR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L,t</m:t>
            </m:r>
          </m:sub>
        </m:sSub>
      </m:oMath>
    </w:p>
    <w:p w14:paraId="7E7E3F12" w14:textId="4067440B" w:rsidR="0040553B" w:rsidRPr="00637E0A" w:rsidRDefault="0040553B" w:rsidP="00637E0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Cs w:val="21"/>
        </w:rPr>
      </w:pPr>
      <w:r w:rsidRPr="0040553B">
        <w:rPr>
          <w:rFonts w:ascii="黑体" w:eastAsia="黑体" w:hAnsi="黑体" w:hint="eastAsia"/>
          <w:sz w:val="24"/>
          <w:szCs w:val="24"/>
        </w:rPr>
        <w:t>计算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="黑体" w:hAnsi="Cambria Math"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黑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黑体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黑体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黑体" w:hAnsi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CAR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W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ACAR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W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1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黑体" w:hAnsi="Cambria Math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黑体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CAR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ACAR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Cs w:val="21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eastAsia="黑体" w:hAnsi="Cambria Math"/>
              <w:szCs w:val="21"/>
            </w:rPr>
            <m:t>/2(</m:t>
          </m:r>
          <m:r>
            <w:rPr>
              <w:rFonts w:ascii="Cambria Math" w:eastAsia="黑体" w:hAnsi="Cambria Math"/>
              <w:szCs w:val="21"/>
            </w:rPr>
            <m:t>N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-1)</m:t>
          </m:r>
        </m:oMath>
      </m:oMathPara>
    </w:p>
    <w:p w14:paraId="77B80BBD" w14:textId="6C30821D" w:rsidR="0040553B" w:rsidRDefault="0040553B" w:rsidP="0040553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构造统计量进行检验</w:t>
      </w:r>
    </w:p>
    <w:p w14:paraId="23E98D74" w14:textId="77777777" w:rsidR="00637E0A" w:rsidRPr="00637E0A" w:rsidRDefault="001153AD" w:rsidP="00637E0A">
      <w:pPr>
        <w:jc w:val="center"/>
        <w:rPr>
          <w:rFonts w:ascii="宋体" w:eastAsia="宋体" w:hAnsi="宋体"/>
          <w:i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 w:cs="Times New Roman" w:hint="eastAsia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ACAR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L,t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ACAR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W,t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/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/N</m:t>
          </m:r>
        </m:oMath>
      </m:oMathPara>
    </w:p>
    <w:p w14:paraId="49116BE2" w14:textId="31D7032A" w:rsidR="007469E8" w:rsidRPr="0040553B" w:rsidRDefault="007469E8" w:rsidP="0040553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期限设定：</w:t>
      </w:r>
      <w:r w:rsidR="00A44DDB">
        <w:rPr>
          <w:rFonts w:ascii="黑体" w:eastAsia="黑体" w:hAnsi="黑体" w:hint="eastAsia"/>
          <w:sz w:val="24"/>
          <w:szCs w:val="24"/>
        </w:rPr>
        <w:t>（表格中的信息：A</w:t>
      </w:r>
      <w:r w:rsidR="00A44DDB">
        <w:rPr>
          <w:rFonts w:ascii="黑体" w:eastAsia="黑体" w:hAnsi="黑体"/>
          <w:sz w:val="24"/>
          <w:szCs w:val="24"/>
        </w:rPr>
        <w:t>CAR</w:t>
      </w:r>
      <w:r w:rsidR="00A44DDB">
        <w:rPr>
          <w:rFonts w:ascii="黑体" w:eastAsia="黑体" w:hAnsi="黑体" w:hint="eastAsia"/>
          <w:sz w:val="24"/>
          <w:szCs w:val="24"/>
        </w:rPr>
        <w:t>、t值、是否显著）</w:t>
      </w:r>
    </w:p>
    <w:tbl>
      <w:tblPr>
        <w:tblStyle w:val="a9"/>
        <w:tblW w:w="9740" w:type="dxa"/>
        <w:tblLook w:val="04A0" w:firstRow="1" w:lastRow="0" w:firstColumn="1" w:lastColumn="0" w:noHBand="0" w:noVBand="1"/>
      </w:tblPr>
      <w:tblGrid>
        <w:gridCol w:w="1624"/>
        <w:gridCol w:w="1624"/>
        <w:gridCol w:w="1622"/>
        <w:gridCol w:w="1622"/>
        <w:gridCol w:w="1624"/>
        <w:gridCol w:w="1624"/>
      </w:tblGrid>
      <w:tr w:rsidR="007469E8" w14:paraId="7DDCD2AD" w14:textId="5CCD79E2" w:rsidTr="007469E8">
        <w:trPr>
          <w:trHeight w:val="435"/>
        </w:trPr>
        <w:tc>
          <w:tcPr>
            <w:tcW w:w="1624" w:type="dxa"/>
            <w:tcBorders>
              <w:tl2br w:val="single" w:sz="4" w:space="0" w:color="auto"/>
            </w:tcBorders>
          </w:tcPr>
          <w:p w14:paraId="1CC20452" w14:textId="1C3ADB5E" w:rsidR="007469E8" w:rsidRPr="007469E8" w:rsidRDefault="007469E8" w:rsidP="007469E8">
            <w:pPr>
              <w:jc w:val="left"/>
              <w:rPr>
                <w:rFonts w:ascii="黑体" w:eastAsia="黑体" w:hAnsi="黑体"/>
                <w:szCs w:val="21"/>
              </w:rPr>
            </w:pPr>
            <w:r w:rsidRPr="007469E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7469E8">
              <w:rPr>
                <w:rFonts w:ascii="黑体" w:eastAsia="黑体" w:hAnsi="黑体"/>
                <w:szCs w:val="21"/>
              </w:rPr>
              <w:t xml:space="preserve">      </w:t>
            </w:r>
            <w:r w:rsidRPr="007469E8">
              <w:rPr>
                <w:rFonts w:ascii="黑体" w:eastAsia="黑体" w:hAnsi="黑体" w:hint="eastAsia"/>
                <w:szCs w:val="21"/>
              </w:rPr>
              <w:t>检验期</w:t>
            </w:r>
          </w:p>
          <w:p w14:paraId="7958ACDA" w14:textId="1A8C8B20" w:rsidR="007469E8" w:rsidRPr="007469E8" w:rsidRDefault="007469E8" w:rsidP="007469E8">
            <w:pPr>
              <w:jc w:val="left"/>
              <w:rPr>
                <w:rFonts w:ascii="黑体" w:eastAsia="黑体" w:hAnsi="黑体"/>
                <w:sz w:val="18"/>
                <w:szCs w:val="18"/>
              </w:rPr>
            </w:pPr>
            <w:r w:rsidRPr="007469E8">
              <w:rPr>
                <w:rFonts w:ascii="黑体" w:eastAsia="黑体" w:hAnsi="黑体" w:hint="eastAsia"/>
                <w:szCs w:val="21"/>
              </w:rPr>
              <w:t>形成期</w:t>
            </w:r>
          </w:p>
        </w:tc>
        <w:tc>
          <w:tcPr>
            <w:tcW w:w="1624" w:type="dxa"/>
          </w:tcPr>
          <w:p w14:paraId="59EC1DF5" w14:textId="157D12B1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1个月</w:t>
            </w:r>
          </w:p>
        </w:tc>
        <w:tc>
          <w:tcPr>
            <w:tcW w:w="1622" w:type="dxa"/>
          </w:tcPr>
          <w:p w14:paraId="52461619" w14:textId="6DD3812C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3个月</w:t>
            </w:r>
          </w:p>
        </w:tc>
        <w:tc>
          <w:tcPr>
            <w:tcW w:w="1622" w:type="dxa"/>
          </w:tcPr>
          <w:p w14:paraId="65CA8B9B" w14:textId="227C8E06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6个月</w:t>
            </w:r>
          </w:p>
        </w:tc>
        <w:tc>
          <w:tcPr>
            <w:tcW w:w="1624" w:type="dxa"/>
          </w:tcPr>
          <w:p w14:paraId="265AA0F0" w14:textId="12E376ED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9个月</w:t>
            </w:r>
          </w:p>
        </w:tc>
        <w:tc>
          <w:tcPr>
            <w:tcW w:w="1624" w:type="dxa"/>
          </w:tcPr>
          <w:p w14:paraId="51C9B927" w14:textId="633AFEAD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个月</w:t>
            </w:r>
          </w:p>
        </w:tc>
      </w:tr>
      <w:tr w:rsidR="007469E8" w14:paraId="147D41A0" w14:textId="77777777" w:rsidTr="007469E8">
        <w:trPr>
          <w:trHeight w:val="435"/>
        </w:trPr>
        <w:tc>
          <w:tcPr>
            <w:tcW w:w="1624" w:type="dxa"/>
          </w:tcPr>
          <w:p w14:paraId="601041E4" w14:textId="54DE318B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1个月</w:t>
            </w:r>
          </w:p>
        </w:tc>
        <w:tc>
          <w:tcPr>
            <w:tcW w:w="1624" w:type="dxa"/>
          </w:tcPr>
          <w:p w14:paraId="6ABCC4A8" w14:textId="740F012B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（1,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66D15265" w14:textId="2B41FE1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（1,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0752E614" w14:textId="0970DE70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（1,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12514AA3" w14:textId="7777777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4" w:type="dxa"/>
          </w:tcPr>
          <w:p w14:paraId="53A8F9A0" w14:textId="7777777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469E8" w14:paraId="15AC1ABF" w14:textId="42D0F625" w:rsidTr="007469E8">
        <w:trPr>
          <w:trHeight w:val="449"/>
        </w:trPr>
        <w:tc>
          <w:tcPr>
            <w:tcW w:w="1624" w:type="dxa"/>
          </w:tcPr>
          <w:p w14:paraId="1B8B3F98" w14:textId="220D54D4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3个月</w:t>
            </w:r>
          </w:p>
        </w:tc>
        <w:tc>
          <w:tcPr>
            <w:tcW w:w="1624" w:type="dxa"/>
          </w:tcPr>
          <w:p w14:paraId="481370BA" w14:textId="36F17D32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（3,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2CD8667D" w14:textId="6B467044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（3,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04E097DD" w14:textId="6E6BE5CA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（3,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372EB395" w14:textId="7777777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57FAF46" w14:textId="7777777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469E8" w14:paraId="1326FE68" w14:textId="6E73F55B" w:rsidTr="007469E8">
        <w:trPr>
          <w:trHeight w:val="435"/>
        </w:trPr>
        <w:tc>
          <w:tcPr>
            <w:tcW w:w="1624" w:type="dxa"/>
          </w:tcPr>
          <w:p w14:paraId="068ACD09" w14:textId="554FCB66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6个月</w:t>
            </w:r>
          </w:p>
        </w:tc>
        <w:tc>
          <w:tcPr>
            <w:tcW w:w="1624" w:type="dxa"/>
          </w:tcPr>
          <w:p w14:paraId="15E875DD" w14:textId="54E00995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（6,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11FE5D7B" w14:textId="022B3409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（6,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6654E204" w14:textId="41CD16F6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（6,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616FA558" w14:textId="5DD738F4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（6,</w:t>
            </w:r>
            <w:r>
              <w:rPr>
                <w:rFonts w:ascii="黑体" w:eastAsia="黑体" w:hAnsi="黑体"/>
                <w:sz w:val="24"/>
                <w:szCs w:val="24"/>
              </w:rPr>
              <w:t>9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71989798" w14:textId="486A3AAB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（6,</w:t>
            </w:r>
            <w:r>
              <w:rPr>
                <w:rFonts w:ascii="黑体" w:eastAsia="黑体" w:hAnsi="黑体"/>
                <w:sz w:val="24"/>
                <w:szCs w:val="24"/>
              </w:rPr>
              <w:t>12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</w:tr>
      <w:tr w:rsidR="007469E8" w14:paraId="0BD8BDE1" w14:textId="05FCA606" w:rsidTr="007469E8">
        <w:trPr>
          <w:trHeight w:val="435"/>
        </w:trPr>
        <w:tc>
          <w:tcPr>
            <w:tcW w:w="1624" w:type="dxa"/>
          </w:tcPr>
          <w:p w14:paraId="59FAA2AA" w14:textId="7CED095B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9个月</w:t>
            </w:r>
          </w:p>
        </w:tc>
        <w:tc>
          <w:tcPr>
            <w:tcW w:w="1624" w:type="dxa"/>
          </w:tcPr>
          <w:p w14:paraId="7F3F2726" w14:textId="3A80E361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（9,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34CDE360" w14:textId="7658F020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（9,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5998BC68" w14:textId="4BECDF68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（9,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5380B626" w14:textId="037FA564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（9,</w:t>
            </w:r>
            <w:r>
              <w:rPr>
                <w:rFonts w:ascii="黑体" w:eastAsia="黑体" w:hAnsi="黑体"/>
                <w:sz w:val="24"/>
                <w:szCs w:val="24"/>
              </w:rPr>
              <w:t>9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4879D4C6" w14:textId="31848576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（9,</w:t>
            </w:r>
            <w:r>
              <w:rPr>
                <w:rFonts w:ascii="黑体" w:eastAsia="黑体" w:hAnsi="黑体"/>
                <w:sz w:val="24"/>
                <w:szCs w:val="24"/>
              </w:rPr>
              <w:t>12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</w:tr>
      <w:tr w:rsidR="007469E8" w14:paraId="4C6D5310" w14:textId="04E48A4C" w:rsidTr="007469E8">
        <w:trPr>
          <w:trHeight w:val="435"/>
        </w:trPr>
        <w:tc>
          <w:tcPr>
            <w:tcW w:w="1624" w:type="dxa"/>
          </w:tcPr>
          <w:p w14:paraId="14F90DB3" w14:textId="6ABF1FBA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个月</w:t>
            </w:r>
          </w:p>
        </w:tc>
        <w:tc>
          <w:tcPr>
            <w:tcW w:w="1624" w:type="dxa"/>
          </w:tcPr>
          <w:p w14:paraId="318F3EE8" w14:textId="17A1E8AF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5F6D0A91" w14:textId="46B9D657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2" w:type="dxa"/>
          </w:tcPr>
          <w:p w14:paraId="753B5708" w14:textId="56B8E1D8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0086BF80" w14:textId="2A129FBC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9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24" w:type="dxa"/>
          </w:tcPr>
          <w:p w14:paraId="4E9A3B55" w14:textId="5F7BE289" w:rsidR="007469E8" w:rsidRDefault="007469E8" w:rsidP="0040553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12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</w:tr>
    </w:tbl>
    <w:p w14:paraId="3E05773A" w14:textId="77777777" w:rsidR="00A44DDB" w:rsidRDefault="00A44DDB" w:rsidP="0040553B">
      <w:pPr>
        <w:rPr>
          <w:rFonts w:ascii="黑体" w:eastAsia="黑体" w:hAnsi="黑体"/>
          <w:sz w:val="24"/>
          <w:szCs w:val="24"/>
        </w:rPr>
      </w:pPr>
    </w:p>
    <w:p w14:paraId="27F4F535" w14:textId="77777777" w:rsidR="00A44DDB" w:rsidRDefault="00A44DDB" w:rsidP="0040553B">
      <w:pPr>
        <w:rPr>
          <w:rFonts w:ascii="黑体" w:eastAsia="黑体" w:hAnsi="黑体"/>
          <w:sz w:val="24"/>
          <w:szCs w:val="24"/>
        </w:rPr>
      </w:pPr>
    </w:p>
    <w:p w14:paraId="0854E4A8" w14:textId="77777777" w:rsidR="00A44DDB" w:rsidRDefault="00A44DDB" w:rsidP="0040553B">
      <w:pPr>
        <w:rPr>
          <w:rFonts w:ascii="黑体" w:eastAsia="黑体" w:hAnsi="黑体"/>
          <w:sz w:val="24"/>
          <w:szCs w:val="24"/>
        </w:rPr>
      </w:pPr>
    </w:p>
    <w:p w14:paraId="6AD5A89F" w14:textId="77777777" w:rsidR="00A44DDB" w:rsidRDefault="00A44DDB" w:rsidP="0040553B">
      <w:pPr>
        <w:rPr>
          <w:rFonts w:ascii="黑体" w:eastAsia="黑体" w:hAnsi="黑体"/>
          <w:sz w:val="24"/>
          <w:szCs w:val="24"/>
        </w:rPr>
      </w:pPr>
    </w:p>
    <w:p w14:paraId="0EDBADF5" w14:textId="3714B251" w:rsidR="00A44DDB" w:rsidRDefault="00A44DDB" w:rsidP="0040553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预期图像“”</w:t>
      </w:r>
    </w:p>
    <w:p w14:paraId="73BC3156" w14:textId="21533367" w:rsidR="0040553B" w:rsidRDefault="007469E8" w:rsidP="0040553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0D18B75F" wp14:editId="14EE95D3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1233FC" w14:textId="37807417" w:rsidR="009C3638" w:rsidRPr="008626F4" w:rsidRDefault="009C3638" w:rsidP="006A061E">
      <w:pPr>
        <w:pStyle w:val="a3"/>
        <w:ind w:left="840" w:firstLineChars="0" w:firstLine="0"/>
        <w:rPr>
          <w:rFonts w:ascii="黑体" w:eastAsia="黑体" w:hAnsi="黑体"/>
          <w:sz w:val="24"/>
          <w:szCs w:val="24"/>
        </w:rPr>
      </w:pPr>
    </w:p>
    <w:sectPr w:rsidR="009C3638" w:rsidRPr="0086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A8056" w14:textId="77777777" w:rsidR="001153AD" w:rsidRDefault="001153AD" w:rsidP="007469E8">
      <w:r>
        <w:separator/>
      </w:r>
    </w:p>
  </w:endnote>
  <w:endnote w:type="continuationSeparator" w:id="0">
    <w:p w14:paraId="61E59984" w14:textId="77777777" w:rsidR="001153AD" w:rsidRDefault="001153AD" w:rsidP="0074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20BE" w14:textId="77777777" w:rsidR="001153AD" w:rsidRDefault="001153AD" w:rsidP="007469E8">
      <w:r>
        <w:separator/>
      </w:r>
    </w:p>
  </w:footnote>
  <w:footnote w:type="continuationSeparator" w:id="0">
    <w:p w14:paraId="243EC04D" w14:textId="77777777" w:rsidR="001153AD" w:rsidRDefault="001153AD" w:rsidP="0074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18CB"/>
    <w:multiLevelType w:val="hybridMultilevel"/>
    <w:tmpl w:val="05EEBDD4"/>
    <w:lvl w:ilvl="0" w:tplc="D5141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DD6A6B"/>
    <w:multiLevelType w:val="hybridMultilevel"/>
    <w:tmpl w:val="D8A27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2062E"/>
    <w:multiLevelType w:val="hybridMultilevel"/>
    <w:tmpl w:val="2DB28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FB"/>
    <w:rsid w:val="000667F5"/>
    <w:rsid w:val="0008190D"/>
    <w:rsid w:val="001153AD"/>
    <w:rsid w:val="00227E81"/>
    <w:rsid w:val="00274517"/>
    <w:rsid w:val="002E2C01"/>
    <w:rsid w:val="0040553B"/>
    <w:rsid w:val="004064AE"/>
    <w:rsid w:val="00476F94"/>
    <w:rsid w:val="00527262"/>
    <w:rsid w:val="005F1FE9"/>
    <w:rsid w:val="00637E0A"/>
    <w:rsid w:val="00690D36"/>
    <w:rsid w:val="006A061E"/>
    <w:rsid w:val="006B22F2"/>
    <w:rsid w:val="006D787B"/>
    <w:rsid w:val="007469E8"/>
    <w:rsid w:val="007732A3"/>
    <w:rsid w:val="008626F4"/>
    <w:rsid w:val="009C3638"/>
    <w:rsid w:val="00A44DDB"/>
    <w:rsid w:val="00A541E5"/>
    <w:rsid w:val="00B05541"/>
    <w:rsid w:val="00BE54FB"/>
    <w:rsid w:val="00D11491"/>
    <w:rsid w:val="00D11639"/>
    <w:rsid w:val="00D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24030"/>
  <w15:chartTrackingRefBased/>
  <w15:docId w15:val="{E4A4C7B7-D4CC-4659-A89A-18E49671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667F5"/>
    <w:rPr>
      <w:color w:val="808080"/>
    </w:rPr>
  </w:style>
  <w:style w:type="paragraph" w:styleId="a5">
    <w:name w:val="header"/>
    <w:basedOn w:val="a"/>
    <w:link w:val="a6"/>
    <w:uiPriority w:val="99"/>
    <w:unhideWhenUsed/>
    <w:rsid w:val="00746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6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6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69E8"/>
    <w:rPr>
      <w:sz w:val="18"/>
      <w:szCs w:val="18"/>
    </w:rPr>
  </w:style>
  <w:style w:type="table" w:styleId="a9">
    <w:name w:val="Table Grid"/>
    <w:basedOn w:val="a1"/>
    <w:uiPriority w:val="39"/>
    <w:rsid w:val="00746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形成期为</a:t>
            </a:r>
            <a:r>
              <a:rPr lang="en-US" altLang="zh-CN"/>
              <a:t>1</a:t>
            </a:r>
            <a:r>
              <a:rPr lang="zh-CN" altLang="en-US"/>
              <a:t>个月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ACARl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4.0999999999999996</c:v>
                </c:pt>
                <c:pt idx="5">
                  <c:v>4.26</c:v>
                </c:pt>
                <c:pt idx="6">
                  <c:v>4.42</c:v>
                </c:pt>
                <c:pt idx="7">
                  <c:v>4.58</c:v>
                </c:pt>
                <c:pt idx="8">
                  <c:v>4.74</c:v>
                </c:pt>
                <c:pt idx="9">
                  <c:v>4.9000000000000004</c:v>
                </c:pt>
                <c:pt idx="10">
                  <c:v>5.0599999999999996</c:v>
                </c:pt>
                <c:pt idx="11">
                  <c:v>5.22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7-40D2-A4EE-CC04AEFDAEBB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ACARw2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2.5</c:v>
                </c:pt>
                <c:pt idx="5">
                  <c:v>2.36</c:v>
                </c:pt>
                <c:pt idx="6">
                  <c:v>2.2200000000000002</c:v>
                </c:pt>
                <c:pt idx="7">
                  <c:v>2.08</c:v>
                </c:pt>
                <c:pt idx="8">
                  <c:v>1.94</c:v>
                </c:pt>
                <c:pt idx="9">
                  <c:v>1.8</c:v>
                </c:pt>
                <c:pt idx="10">
                  <c:v>1.66</c:v>
                </c:pt>
                <c:pt idx="11">
                  <c:v>1.52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7-40D2-A4EE-CC04AEFDAEBB}"/>
            </c:ext>
          </c:extLst>
        </c:ser>
        <c:ser>
          <c:idx val="0"/>
          <c:order val="2"/>
          <c:tx>
            <c:strRef>
              <c:f>Sheet1!$D$1</c:f>
              <c:strCache>
                <c:ptCount val="1"/>
                <c:pt idx="0">
                  <c:v>ACARl-ACARw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5.5</c:v>
                </c:pt>
                <c:pt idx="5">
                  <c:v>6.5</c:v>
                </c:pt>
                <c:pt idx="6">
                  <c:v>7.5</c:v>
                </c:pt>
                <c:pt idx="7">
                  <c:v>8.5</c:v>
                </c:pt>
                <c:pt idx="8">
                  <c:v>9.5</c:v>
                </c:pt>
                <c:pt idx="9">
                  <c:v>10.5</c:v>
                </c:pt>
                <c:pt idx="10">
                  <c:v>11.5</c:v>
                </c:pt>
                <c:pt idx="11">
                  <c:v>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E7-40D2-A4EE-CC04AEFDA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753816"/>
        <c:axId val="630754800"/>
      </c:lineChart>
      <c:catAx>
        <c:axId val="63075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754800"/>
        <c:crosses val="autoZero"/>
        <c:auto val="1"/>
        <c:lblAlgn val="ctr"/>
        <c:lblOffset val="100"/>
        <c:noMultiLvlLbl val="0"/>
      </c:catAx>
      <c:valAx>
        <c:axId val="63075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75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.</dc:creator>
  <cp:keywords/>
  <dc:description/>
  <cp:lastModifiedBy>Vicky .</cp:lastModifiedBy>
  <cp:revision>2</cp:revision>
  <dcterms:created xsi:type="dcterms:W3CDTF">2020-04-09T11:37:00Z</dcterms:created>
  <dcterms:modified xsi:type="dcterms:W3CDTF">2020-04-09T11:37:00Z</dcterms:modified>
</cp:coreProperties>
</file>