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200"/>
        <w:jc w:val="center"/>
      </w:pPr>
      <w:r>
        <w:rPr>
          <w:b/>
          <w:bCs/>
          <w:color w:val="1F3864"/>
          <w:sz w:val="44"/>
          <w:szCs w:val="44"/>
        </w:rPr>
        <w:t xml:space="preserve">Documento Técnico de Arquitetura</w:t>
      </w:r>
    </w:p>
    <w:p>
      <w:pPr>
        <w:spacing w:after="500"/>
        <w:jc w:val="center"/>
      </w:pPr>
      <w:r>
        <w:rPr>
          <w:b/>
          <w:bCs/>
          <w:color w:val="2E74B5"/>
          <w:sz w:val="28"/>
          <w:szCs w:val="28"/>
        </w:rPr>
        <w:t xml:space="preserve">Plataforma de Aprendizagem Personalizada para Crianças com Dificuldades de Aprendizagem</w:t>
      </w:r>
    </w:p>
    <w:p>
      <w:pPr>
        <w:spacing w:after="100"/>
        <w:jc w:val="center"/>
      </w:pPr>
      <w:r>
        <w:rPr>
          <w:i/>
          <w:iCs/>
          <w:color w:val="595959"/>
          <w:sz w:val="24"/>
          <w:szCs w:val="24"/>
        </w:rPr>
        <w:t xml:space="preserve">Decisões de arquitetura, diagramas e estrutura do sistema</w:t>
      </w:r>
    </w:p>
    <w:p>
      <w:pPr>
        <w:spacing w:after="100"/>
        <w:jc w:val="center"/>
      </w:pPr>
      <w:r>
        <w:rPr>
          <w:color w:val="595959"/>
          <w:sz w:val="22"/>
          <w:szCs w:val="22"/>
        </w:rPr>
        <w:t xml:space="preserve">Engenharia de Software — Ciência da Computação</w:t>
      </w:r>
    </w:p>
    <w:p>
      <w:pPr>
        <w:spacing w:after="1000"/>
        <w:jc w:val="center"/>
      </w:pPr>
      <w:r>
        <w:rPr>
          <w:color w:val="595959"/>
          <w:sz w:val="20"/>
          <w:szCs w:val="20"/>
        </w:rPr>
        <w:t xml:space="preserve">Setembro de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4B5" w:sz="4"/>
              <w:left w:val="single" w:color="2E74B5" w:sz="24"/>
              <w:bottom w:val="single" w:color="2E74B5" w:sz="4"/>
              <w:right w:val="single" w:color="2E74B5" w:sz="4"/>
            </w:tcBorders>
            <w:shd w:fill="EDF2F8" w:color="auto" w:val="clear"/>
            <w:tcMar>
              <w:top w:type="dxa" w:w="150"/>
              <w:left w:type="dxa" w:w="200"/>
              <w:bottom w:type="dxa" w:w="150"/>
              <w:right w:type="dxa" w:w="200"/>
            </w:tcMar>
          </w:tcPr>
          <w:p>
            <w:pPr>
              <w:spacing w:after="80"/>
            </w:pPr>
            <w:r>
              <w:rPr>
                <w:b/>
                <w:bCs/>
                <w:color w:val="1F3864"/>
                <w:sz w:val="22"/>
                <w:szCs w:val="22"/>
              </w:rPr>
              <w:t xml:space="preserve">Sobre este documento</w:t>
            </w:r>
          </w:p>
          <w:p>
            <w:pPr>
              <w:spacing w:after="0" w:line="280"/>
            </w:pPr>
            <w:r>
              <w:rPr>
                <w:color w:val="333333"/>
                <w:sz w:val="21"/>
                <w:szCs w:val="21"/>
              </w:rPr>
              <w:t xml:space="preserve">Este documento complementa o resumo de pesquisa entregue anteriormente. Aqui ficam as decisões de arquitetura (ADRs), os diagramas C4 de contexto e containers, o modelo de dados, os contratos de API, a stack tecnológica recomendada, a estrutura de pastas do repositório e o roadmap de implementação do MVP.</w:t>
            </w:r>
          </w:p>
        </w:tc>
      </w:tr>
    </w:tbl>
    <w:p>
      <w:pPr>
        <w:pageBreakBefore/>
      </w:pPr>
    </w:p>
    <w:p>
      <w:pPr>
        <w:pStyle w:val="Heading1"/>
        <w:pBdr>
          <w:bottom w:val="single" w:color="2E74B5" w:sz="6" w:space="4"/>
        </w:pBdr>
        <w:spacing w:after="200" w:before="420"/>
      </w:pPr>
      <w:r>
        <w:rPr>
          <w:b/>
          <w:bCs/>
          <w:color w:val="1F3864"/>
          <w:sz w:val="30"/>
          <w:szCs w:val="30"/>
        </w:rPr>
        <w:t xml:space="preserve">1. Objetivo do Documento</w:t>
      </w:r>
    </w:p>
    <w:p>
      <w:pPr>
        <w:spacing w:after="160" w:line="300"/>
      </w:pPr>
      <w:r>
        <w:rPr>
          <w:sz w:val="22"/>
          <w:szCs w:val="22"/>
        </w:rPr>
        <w:t xml:space="preserve">Traduzir a proposta de personalização adaptativa — descrita no resumo de pesquisa — em decisões de arquitetura concretas: como o sistema é dividido em componentes, como os dados fluem entre eles, qual estrutura de dados sustenta o "modelo do aluno", quais contratos de API existem entre as partes, e em que ordem o time deve implementar isso.</w:t>
      </w:r>
    </w:p>
    <w:p>
      <w:pPr>
        <w:spacing w:after="160" w:line="300"/>
      </w:pPr>
      <w:r>
        <w:rPr>
          <w:sz w:val="22"/>
          <w:szCs w:val="22"/>
        </w:rPr>
        <w:t xml:space="preserve">O público-alvo é o próprio grupo (para dividir o trabalho entre integrantes) e a banca avaliadora (para demonstrar que houve análise de tradeoffs, não só escolha por familiaridade com a tecnologia).</w:t>
      </w:r>
    </w:p>
    <w:p>
      <w:pPr>
        <w:pStyle w:val="Heading1"/>
        <w:pBdr>
          <w:bottom w:val="single" w:color="2E74B5" w:sz="6" w:space="4"/>
        </w:pBdr>
        <w:spacing w:after="200" w:before="420"/>
      </w:pPr>
      <w:r>
        <w:rPr>
          <w:b/>
          <w:bCs/>
          <w:color w:val="1F3864"/>
          <w:sz w:val="30"/>
          <w:szCs w:val="30"/>
        </w:rPr>
        <w:t xml:space="preserve">2. Visão Geral da Solução</w:t>
      </w:r>
    </w:p>
    <w:p>
      <w:pPr>
        <w:spacing w:after="160" w:line="300"/>
      </w:pPr>
      <w:r>
        <w:rPr>
          <w:sz w:val="22"/>
          <w:szCs w:val="22"/>
        </w:rPr>
        <w:t xml:space="preserve">O sistema recebe respostas da criança a exercícios, infere o domínio de cada habilidade através de um modelo probabilístico (Bayesian Knowledge Tracing) e usa essa inferência para selecionar o próximo exercício mais adequado. Quatro restrições de projeto guiam todas as decisões abaixo:</w:t>
      </w:r>
    </w:p>
    <w:p>
      <w:pPr>
        <w:pStyle w:val="ListParagraph"/>
        <w:numPr>
          <w:ilvl w:val="0"/>
          <w:numId w:val="2"/>
        </w:numPr>
        <w:spacing w:after="100" w:line="280"/>
      </w:pPr>
      <w:r>
        <w:rPr>
          <w:b/>
          <w:bCs/>
          <w:sz w:val="22"/>
          <w:szCs w:val="22"/>
        </w:rPr>
        <w:t xml:space="preserve">Explicabilidade acima de sofisticação: </w:t>
      </w:r>
      <w:r>
        <w:rPr>
          <w:sz w:val="22"/>
          <w:szCs w:val="22"/>
        </w:rPr>
        <w:t xml:space="preserve">o professor precisa entender por que o sistema recomendou algo; isso descarta modelos de caixa-preta como escolha inicial.</w:t>
      </w:r>
    </w:p>
    <w:p>
      <w:pPr>
        <w:pStyle w:val="ListParagraph"/>
        <w:numPr>
          <w:ilvl w:val="0"/>
          <w:numId w:val="2"/>
        </w:numPr>
        <w:spacing w:after="100" w:line="280"/>
      </w:pPr>
      <w:r>
        <w:rPr>
          <w:b/>
          <w:bCs/>
          <w:sz w:val="22"/>
          <w:szCs w:val="22"/>
        </w:rPr>
        <w:t xml:space="preserve">Baixo volume de dados no início: </w:t>
      </w:r>
      <w:r>
        <w:rPr>
          <w:sz w:val="22"/>
          <w:szCs w:val="22"/>
        </w:rPr>
        <w:t xml:space="preserve">um piloto ou MVP acadêmico não tem dados suficientes para treinar deep learning; modelos estatísticos simples generalizam melhor nesse regime.</w:t>
      </w:r>
    </w:p>
    <w:p>
      <w:pPr>
        <w:pStyle w:val="ListParagraph"/>
        <w:numPr>
          <w:ilvl w:val="0"/>
          <w:numId w:val="2"/>
        </w:numPr>
        <w:spacing w:after="100" w:line="280"/>
      </w:pPr>
      <w:r>
        <w:rPr>
          <w:b/>
          <w:bCs/>
          <w:sz w:val="22"/>
          <w:szCs w:val="22"/>
        </w:rPr>
        <w:t xml:space="preserve">Conectividade limitada: </w:t>
      </w:r>
      <w:r>
        <w:rPr>
          <w:sz w:val="22"/>
          <w:szCs w:val="22"/>
        </w:rPr>
        <w:t xml:space="preserve">parte do público-alvo está em escolas públicas com internet instável (Seção 2.4 do resumo de pesquisa); a arquitetura precisa tolerar isso.</w:t>
      </w:r>
    </w:p>
    <w:p>
      <w:pPr>
        <w:pStyle w:val="ListParagraph"/>
        <w:numPr>
          <w:ilvl w:val="0"/>
          <w:numId w:val="2"/>
        </w:numPr>
        <w:spacing w:after="100" w:line="280"/>
      </w:pPr>
      <w:r>
        <w:rPr>
          <w:b/>
          <w:bCs/>
          <w:sz w:val="22"/>
          <w:szCs w:val="22"/>
        </w:rPr>
        <w:t xml:space="preserve">Privacidade desde o design: </w:t>
      </w:r>
      <w:r>
        <w:rPr>
          <w:sz w:val="22"/>
          <w:szCs w:val="22"/>
        </w:rPr>
        <w:t xml:space="preserve">LGPD art. 14 e ECA Digital exigem minimização de dados e perfilamento contextual, não comportamental — isso molda o modelo de dados, não é só uma camada de política adicionada depois.</w:t>
      </w:r>
    </w:p>
    <w:p>
      <w:pPr>
        <w:pStyle w:val="Heading1"/>
        <w:pBdr>
          <w:bottom w:val="single" w:color="2E74B5" w:sz="6" w:space="4"/>
        </w:pBdr>
        <w:spacing w:after="200" w:before="420"/>
      </w:pPr>
      <w:r>
        <w:rPr>
          <w:b/>
          <w:bCs/>
          <w:color w:val="1F3864"/>
          <w:sz w:val="30"/>
          <w:szCs w:val="30"/>
        </w:rPr>
        <w:t xml:space="preserve">3. Diagrama de Contexto (C4 — Nível 1)</w:t>
      </w:r>
    </w:p>
    <w:p>
      <w:pPr>
        <w:spacing w:after="160" w:line="300"/>
      </w:pPr>
      <w:r>
        <w:rPr>
          <w:sz w:val="22"/>
          <w:szCs w:val="22"/>
        </w:rPr>
        <w:t xml:space="preserve">Mostra o sistema como uma caixa única e quem interage com ele. Não entra em detalhes internos — serve para alinhar escopo com quem não vai ler código.</w:t>
      </w:r>
    </w:p>
    <w:p>
      <w:pPr>
        <w:spacing w:after="80" w:before="120"/>
        <w:jc w:val="center"/>
      </w:pPr>
      <w:r>
        <w:drawing>
          <wp:inline distT="0" distB="0" distL="0" distR="0">
            <wp:extent cx="5715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00450"/>
                    </a:xfrm>
                    <a:prstGeom prst="rect">
                      <a:avLst/>
                    </a:prstGeom>
                  </pic:spPr>
                </pic:pic>
              </a:graphicData>
            </a:graphic>
          </wp:inline>
        </w:drawing>
      </w:r>
    </w:p>
    <w:p>
      <w:pPr>
        <w:spacing w:after="240"/>
        <w:jc w:val="center"/>
      </w:pPr>
      <w:r>
        <w:rPr>
          <w:i/>
          <w:iCs/>
          <w:color w:val="595959"/>
          <w:sz w:val="19"/>
          <w:szCs w:val="19"/>
        </w:rPr>
        <w:t xml:space="preserve">Figura 1 — Diagrama de Contexto: atores e sistemas externos.</w:t>
      </w:r>
    </w:p>
    <w:p>
      <w:pPr>
        <w:spacing w:after="160" w:line="300"/>
      </w:pPr>
      <w:r>
        <w:rPr>
          <w:sz w:val="22"/>
          <w:szCs w:val="22"/>
        </w:rPr>
        <w:t xml:space="preserve">Dois pontos merecem destaque: (1) o "Painel de Gestão Escolar" é marcado como opcional/fase 2 — não faz parte do MVP, e (2) a ANPD/marco legal aparece como um sistema externo que o produto "opera sob", não como um integrador técnico — é uma forma de lembrar, já no diagrama, que a conformidade regulatória é uma restrição de primeira classe.</w:t>
      </w:r>
    </w:p>
    <w:p>
      <w:pPr>
        <w:pStyle w:val="Heading1"/>
        <w:pBdr>
          <w:bottom w:val="single" w:color="2E74B5" w:sz="6" w:space="4"/>
        </w:pBdr>
        <w:spacing w:after="200" w:before="420"/>
      </w:pPr>
      <w:r>
        <w:rPr>
          <w:b/>
          <w:bCs/>
          <w:color w:val="1F3864"/>
          <w:sz w:val="30"/>
          <w:szCs w:val="30"/>
        </w:rPr>
        <w:t xml:space="preserve">4. Diagrama de Containers (C4 — Nível 2)</w:t>
      </w:r>
    </w:p>
    <w:p>
      <w:pPr>
        <w:spacing w:after="160" w:line="300"/>
      </w:pPr>
      <w:r>
        <w:rPr>
          <w:sz w:val="22"/>
          <w:szCs w:val="22"/>
        </w:rPr>
        <w:t xml:space="preserve">Detalha os blocos executáveis/implantáveis dentro do sistema e como eles se comunicam.</w:t>
      </w:r>
    </w:p>
    <w:p>
      <w:pPr>
        <w:spacing w:after="80" w:before="120"/>
        <w:jc w:val="center"/>
      </w:pPr>
      <w:r>
        <w:drawing>
          <wp:inline distT="0" distB="0" distL="0" distR="0">
            <wp:extent cx="59055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14800"/>
                    </a:xfrm>
                    <a:prstGeom prst="rect">
                      <a:avLst/>
                    </a:prstGeom>
                  </pic:spPr>
                </pic:pic>
              </a:graphicData>
            </a:graphic>
          </wp:inline>
        </w:drawing>
      </w:r>
    </w:p>
    <w:p>
      <w:pPr>
        <w:spacing w:after="240"/>
        <w:jc w:val="center"/>
      </w:pPr>
      <w:r>
        <w:rPr>
          <w:i/>
          <w:iCs/>
          <w:color w:val="595959"/>
          <w:sz w:val="19"/>
          <w:szCs w:val="19"/>
        </w:rPr>
        <w:t xml:space="preserve">Figura 2 — Diagrama de Containers: serviços, dados e preocupações transversais.</w:t>
      </w:r>
    </w:p>
    <w:p>
      <w:pPr>
        <w:pStyle w:val="Heading3"/>
        <w:spacing w:after="80" w:before="200"/>
      </w:pPr>
      <w:r>
        <w:rPr>
          <w:b/>
          <w:bCs/>
          <w:color w:val="2E74B5"/>
          <w:sz w:val="22"/>
          <w:szCs w:val="22"/>
        </w:rPr>
        <w:t xml:space="preserve">Responsabilidade de cada container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tblHeader/>
        </w:trPr>
        <w:tc>
          <w:tcPr>
            <w:tcW w:type="dxa" w:w="2200"/>
            <w:shd w:fill="1F3864" w:color="auto" w:val="clear"/>
            <w:tcMar>
              <w:top w:type="dxa" w:w="100"/>
              <w:left w:type="dxa" w:w="100"/>
              <w:bottom w:type="dxa" w:w="100"/>
              <w:right w:type="dxa" w:w="100"/>
            </w:tcMar>
            <w:vAlign w:val="center"/>
          </w:tcPr>
          <w:p>
            <w:r>
              <w:rPr>
                <w:b/>
                <w:bCs/>
                <w:color w:val="FFFFFF"/>
                <w:sz w:val="19"/>
                <w:szCs w:val="19"/>
              </w:rPr>
              <w:t xml:space="preserve">Container</w:t>
            </w:r>
          </w:p>
        </w:tc>
        <w:tc>
          <w:tcPr>
            <w:tcW w:type="dxa" w:w="4200"/>
            <w:shd w:fill="1F3864" w:color="auto" w:val="clear"/>
            <w:tcMar>
              <w:top w:type="dxa" w:w="100"/>
              <w:left w:type="dxa" w:w="100"/>
              <w:bottom w:type="dxa" w:w="100"/>
              <w:right w:type="dxa" w:w="100"/>
            </w:tcMar>
            <w:vAlign w:val="center"/>
          </w:tcPr>
          <w:p>
            <w:r>
              <w:rPr>
                <w:b/>
                <w:bCs/>
                <w:color w:val="FFFFFF"/>
                <w:sz w:val="19"/>
                <w:szCs w:val="19"/>
              </w:rPr>
              <w:t xml:space="preserve">Responsabilidade</w:t>
            </w:r>
          </w:p>
        </w:tc>
        <w:tc>
          <w:tcPr>
            <w:tcW w:type="dxa" w:w="2950"/>
            <w:shd w:fill="1F3864" w:color="auto" w:val="clear"/>
            <w:tcMar>
              <w:top w:type="dxa" w:w="100"/>
              <w:left w:type="dxa" w:w="100"/>
              <w:bottom w:type="dxa" w:w="100"/>
              <w:right w:type="dxa" w:w="100"/>
            </w:tcMar>
            <w:vAlign w:val="center"/>
          </w:tcPr>
          <w:p>
            <w:r>
              <w:rPr>
                <w:b/>
                <w:bCs/>
                <w:color w:val="FFFFFF"/>
                <w:sz w:val="19"/>
                <w:szCs w:val="19"/>
              </w:rPr>
              <w:t xml:space="preserve">Observação</w:t>
            </w:r>
          </w:p>
        </w:tc>
      </w:tr>
      <w:tr>
        <w:tc>
          <w:tcPr>
            <w:tcW w:type="dxa" w:w="2200"/>
            <w:shd w:fill="FFFFFF" w:color="auto" w:val="clear"/>
            <w:tcMar>
              <w:top w:type="dxa" w:w="90"/>
              <w:left w:type="dxa" w:w="100"/>
              <w:bottom w:type="dxa" w:w="90"/>
              <w:right w:type="dxa" w:w="100"/>
            </w:tcMar>
            <w:vAlign w:val="center"/>
          </w:tcPr>
          <w:p>
            <w:r>
              <w:rPr>
                <w:sz w:val="18"/>
                <w:szCs w:val="18"/>
              </w:rPr>
              <w:t xml:space="preserve">App da Criança</w:t>
            </w:r>
          </w:p>
        </w:tc>
        <w:tc>
          <w:tcPr>
            <w:tcW w:type="dxa" w:w="4200"/>
            <w:shd w:fill="FFFFFF" w:color="auto" w:val="clear"/>
            <w:tcMar>
              <w:top w:type="dxa" w:w="90"/>
              <w:left w:type="dxa" w:w="100"/>
              <w:bottom w:type="dxa" w:w="90"/>
              <w:right w:type="dxa" w:w="100"/>
            </w:tcMar>
            <w:vAlign w:val="center"/>
          </w:tcPr>
          <w:p>
            <w:r>
              <w:rPr>
                <w:sz w:val="18"/>
                <w:szCs w:val="18"/>
              </w:rPr>
              <w:t xml:space="preserve">Interface de exercícios; funciona offline e sincroniza depois</w:t>
            </w:r>
          </w:p>
        </w:tc>
        <w:tc>
          <w:tcPr>
            <w:tcW w:type="dxa" w:w="2950"/>
            <w:shd w:fill="FFFFFF" w:color="auto" w:val="clear"/>
            <w:tcMar>
              <w:top w:type="dxa" w:w="90"/>
              <w:left w:type="dxa" w:w="100"/>
              <w:bottom w:type="dxa" w:w="90"/>
              <w:right w:type="dxa" w:w="100"/>
            </w:tcMar>
            <w:vAlign w:val="center"/>
          </w:tcPr>
          <w:p>
            <w:r>
              <w:rPr>
                <w:sz w:val="18"/>
                <w:szCs w:val="18"/>
              </w:rPr>
              <w:t xml:space="preserve">Único ponto que a criança usa diretamente</w:t>
            </w:r>
          </w:p>
        </w:tc>
      </w:tr>
      <w:tr>
        <w:tc>
          <w:tcPr>
            <w:tcW w:type="dxa" w:w="2200"/>
            <w:shd w:fill="F7F9FC" w:color="auto" w:val="clear"/>
            <w:tcMar>
              <w:top w:type="dxa" w:w="90"/>
              <w:left w:type="dxa" w:w="100"/>
              <w:bottom w:type="dxa" w:w="90"/>
              <w:right w:type="dxa" w:w="100"/>
            </w:tcMar>
            <w:vAlign w:val="center"/>
          </w:tcPr>
          <w:p>
            <w:r>
              <w:rPr>
                <w:sz w:val="18"/>
                <w:szCs w:val="18"/>
              </w:rPr>
              <w:t xml:space="preserve">Painel do Professor/Família</w:t>
            </w:r>
          </w:p>
        </w:tc>
        <w:tc>
          <w:tcPr>
            <w:tcW w:type="dxa" w:w="4200"/>
            <w:shd w:fill="F7F9FC" w:color="auto" w:val="clear"/>
            <w:tcMar>
              <w:top w:type="dxa" w:w="90"/>
              <w:left w:type="dxa" w:w="100"/>
              <w:bottom w:type="dxa" w:w="90"/>
              <w:right w:type="dxa" w:w="100"/>
            </w:tcMar>
            <w:vAlign w:val="center"/>
          </w:tcPr>
          <w:p>
            <w:r>
              <w:rPr>
                <w:sz w:val="18"/>
                <w:szCs w:val="18"/>
              </w:rPr>
              <w:t xml:space="preserve">Visualiza progresso, P(L) por habilidade, alertas</w:t>
            </w:r>
          </w:p>
        </w:tc>
        <w:tc>
          <w:tcPr>
            <w:tcW w:type="dxa" w:w="2950"/>
            <w:shd w:fill="F7F9FC" w:color="auto" w:val="clear"/>
            <w:tcMar>
              <w:top w:type="dxa" w:w="90"/>
              <w:left w:type="dxa" w:w="100"/>
              <w:bottom w:type="dxa" w:w="90"/>
              <w:right w:type="dxa" w:w="100"/>
            </w:tcMar>
            <w:vAlign w:val="center"/>
          </w:tcPr>
          <w:p>
            <w:r>
              <w:rPr>
                <w:sz w:val="18"/>
                <w:szCs w:val="18"/>
              </w:rPr>
              <w:t xml:space="preserve">Sustenta o "uso com professor", fator associado a melhor efeito na pesquisa</w:t>
            </w:r>
          </w:p>
        </w:tc>
      </w:tr>
      <w:tr>
        <w:tc>
          <w:tcPr>
            <w:tcW w:type="dxa" w:w="2200"/>
            <w:shd w:fill="FFFFFF" w:color="auto" w:val="clear"/>
            <w:tcMar>
              <w:top w:type="dxa" w:w="90"/>
              <w:left w:type="dxa" w:w="100"/>
              <w:bottom w:type="dxa" w:w="90"/>
              <w:right w:type="dxa" w:w="100"/>
            </w:tcMar>
            <w:vAlign w:val="center"/>
          </w:tcPr>
          <w:p>
            <w:r>
              <w:rPr>
                <w:sz w:val="18"/>
                <w:szCs w:val="18"/>
              </w:rPr>
              <w:t xml:space="preserve">API Backend</w:t>
            </w:r>
          </w:p>
        </w:tc>
        <w:tc>
          <w:tcPr>
            <w:tcW w:type="dxa" w:w="4200"/>
            <w:shd w:fill="FFFFFF" w:color="auto" w:val="clear"/>
            <w:tcMar>
              <w:top w:type="dxa" w:w="90"/>
              <w:left w:type="dxa" w:w="100"/>
              <w:bottom w:type="dxa" w:w="90"/>
              <w:right w:type="dxa" w:w="100"/>
            </w:tcMar>
            <w:vAlign w:val="center"/>
          </w:tcPr>
          <w:p>
            <w:r>
              <w:rPr>
                <w:sz w:val="18"/>
                <w:szCs w:val="18"/>
              </w:rPr>
              <w:t xml:space="preserve">Autentica, valida consentimento, orquestra os serviços</w:t>
            </w:r>
          </w:p>
        </w:tc>
        <w:tc>
          <w:tcPr>
            <w:tcW w:type="dxa" w:w="2950"/>
            <w:shd w:fill="FFFFFF" w:color="auto" w:val="clear"/>
            <w:tcMar>
              <w:top w:type="dxa" w:w="90"/>
              <w:left w:type="dxa" w:w="100"/>
              <w:bottom w:type="dxa" w:w="90"/>
              <w:right w:type="dxa" w:w="100"/>
            </w:tcMar>
            <w:vAlign w:val="center"/>
          </w:tcPr>
          <w:p>
            <w:r>
              <w:rPr>
                <w:sz w:val="18"/>
                <w:szCs w:val="18"/>
              </w:rPr>
              <w:t xml:space="preserve">Único ponto de entrada; simplifica segurança</w:t>
            </w:r>
          </w:p>
        </w:tc>
      </w:tr>
      <w:tr>
        <w:tc>
          <w:tcPr>
            <w:tcW w:type="dxa" w:w="2200"/>
            <w:shd w:fill="F7F9FC" w:color="auto" w:val="clear"/>
            <w:tcMar>
              <w:top w:type="dxa" w:w="90"/>
              <w:left w:type="dxa" w:w="100"/>
              <w:bottom w:type="dxa" w:w="90"/>
              <w:right w:type="dxa" w:w="100"/>
            </w:tcMar>
            <w:vAlign w:val="center"/>
          </w:tcPr>
          <w:p>
            <w:r>
              <w:rPr>
                <w:sz w:val="18"/>
                <w:szCs w:val="18"/>
              </w:rPr>
              <w:t xml:space="preserve">Serviço de Modelo do Aluno</w:t>
            </w:r>
          </w:p>
        </w:tc>
        <w:tc>
          <w:tcPr>
            <w:tcW w:type="dxa" w:w="4200"/>
            <w:shd w:fill="F7F9FC" w:color="auto" w:val="clear"/>
            <w:tcMar>
              <w:top w:type="dxa" w:w="90"/>
              <w:left w:type="dxa" w:w="100"/>
              <w:bottom w:type="dxa" w:w="90"/>
              <w:right w:type="dxa" w:w="100"/>
            </w:tcMar>
            <w:vAlign w:val="center"/>
          </w:tcPr>
          <w:p>
            <w:r>
              <w:rPr>
                <w:sz w:val="18"/>
                <w:szCs w:val="18"/>
              </w:rPr>
              <w:t xml:space="preserve">Calcula e persiste P(L) via Bayesian Knowledge Tracing</w:t>
            </w:r>
          </w:p>
        </w:tc>
        <w:tc>
          <w:tcPr>
            <w:tcW w:type="dxa" w:w="2950"/>
            <w:shd w:fill="F7F9FC" w:color="auto" w:val="clear"/>
            <w:tcMar>
              <w:top w:type="dxa" w:w="90"/>
              <w:left w:type="dxa" w:w="100"/>
              <w:bottom w:type="dxa" w:w="90"/>
              <w:right w:type="dxa" w:w="100"/>
            </w:tcMar>
            <w:vAlign w:val="center"/>
          </w:tcPr>
          <w:p>
            <w:r>
              <w:rPr>
                <w:sz w:val="18"/>
                <w:szCs w:val="18"/>
              </w:rPr>
              <w:t xml:space="preserve">Núcleo estatístico do sistema — Seção 7</w:t>
            </w:r>
          </w:p>
        </w:tc>
      </w:tr>
      <w:tr>
        <w:tc>
          <w:tcPr>
            <w:tcW w:type="dxa" w:w="2200"/>
            <w:shd w:fill="FFFFFF" w:color="auto" w:val="clear"/>
            <w:tcMar>
              <w:top w:type="dxa" w:w="90"/>
              <w:left w:type="dxa" w:w="100"/>
              <w:bottom w:type="dxa" w:w="90"/>
              <w:right w:type="dxa" w:w="100"/>
            </w:tcMar>
            <w:vAlign w:val="center"/>
          </w:tcPr>
          <w:p>
            <w:r>
              <w:rPr>
                <w:sz w:val="18"/>
                <w:szCs w:val="18"/>
              </w:rPr>
              <w:t xml:space="preserve">Motor de Recomendação</w:t>
            </w:r>
          </w:p>
        </w:tc>
        <w:tc>
          <w:tcPr>
            <w:tcW w:type="dxa" w:w="4200"/>
            <w:shd w:fill="FFFFFF" w:color="auto" w:val="clear"/>
            <w:tcMar>
              <w:top w:type="dxa" w:w="90"/>
              <w:left w:type="dxa" w:w="100"/>
              <w:bottom w:type="dxa" w:w="90"/>
              <w:right w:type="dxa" w:w="100"/>
            </w:tcMar>
            <w:vAlign w:val="center"/>
          </w:tcPr>
          <w:p>
            <w:r>
              <w:rPr>
                <w:sz w:val="18"/>
                <w:szCs w:val="18"/>
              </w:rPr>
              <w:t xml:space="preserve">Aplica regras pedagógicas sobre P(L) para escolher o próximo item</w:t>
            </w:r>
          </w:p>
        </w:tc>
        <w:tc>
          <w:tcPr>
            <w:tcW w:type="dxa" w:w="2950"/>
            <w:shd w:fill="FFFFFF" w:color="auto" w:val="clear"/>
            <w:tcMar>
              <w:top w:type="dxa" w:w="90"/>
              <w:left w:type="dxa" w:w="100"/>
              <w:bottom w:type="dxa" w:w="90"/>
              <w:right w:type="dxa" w:w="100"/>
            </w:tcMar>
            <w:vAlign w:val="center"/>
          </w:tcPr>
          <w:p>
            <w:r>
              <w:rPr>
                <w:sz w:val="18"/>
                <w:szCs w:val="18"/>
              </w:rPr>
              <w:t xml:space="preserve">Deliberadamente baseado em regras, não ML — ADR-03</w:t>
            </w:r>
          </w:p>
        </w:tc>
      </w:tr>
      <w:tr>
        <w:tc>
          <w:tcPr>
            <w:tcW w:type="dxa" w:w="2200"/>
            <w:shd w:fill="F7F9FC" w:color="auto" w:val="clear"/>
            <w:tcMar>
              <w:top w:type="dxa" w:w="90"/>
              <w:left w:type="dxa" w:w="100"/>
              <w:bottom w:type="dxa" w:w="90"/>
              <w:right w:type="dxa" w:w="100"/>
            </w:tcMar>
            <w:vAlign w:val="center"/>
          </w:tcPr>
          <w:p>
            <w:r>
              <w:rPr>
                <w:sz w:val="18"/>
                <w:szCs w:val="18"/>
              </w:rPr>
              <w:t xml:space="preserve">Serviço de Conteúdo</w:t>
            </w:r>
          </w:p>
        </w:tc>
        <w:tc>
          <w:tcPr>
            <w:tcW w:type="dxa" w:w="4200"/>
            <w:shd w:fill="F7F9FC" w:color="auto" w:val="clear"/>
            <w:tcMar>
              <w:top w:type="dxa" w:w="90"/>
              <w:left w:type="dxa" w:w="100"/>
              <w:bottom w:type="dxa" w:w="90"/>
              <w:right w:type="dxa" w:w="100"/>
            </w:tcMar>
            <w:vAlign w:val="center"/>
          </w:tcPr>
          <w:p>
            <w:r>
              <w:rPr>
                <w:sz w:val="18"/>
                <w:szCs w:val="18"/>
              </w:rPr>
              <w:t xml:space="preserve">Mantém o banco de itens etiquetados por habilidade</w:t>
            </w:r>
          </w:p>
        </w:tc>
        <w:tc>
          <w:tcPr>
            <w:tcW w:type="dxa" w:w="2950"/>
            <w:shd w:fill="F7F9FC" w:color="auto" w:val="clear"/>
            <w:tcMar>
              <w:top w:type="dxa" w:w="90"/>
              <w:left w:type="dxa" w:w="100"/>
              <w:bottom w:type="dxa" w:w="90"/>
              <w:right w:type="dxa" w:w="100"/>
            </w:tcMar>
            <w:vAlign w:val="center"/>
          </w:tcPr>
          <w:p>
            <w:r>
              <w:rPr>
                <w:sz w:val="18"/>
                <w:szCs w:val="18"/>
              </w:rPr>
              <w:t xml:space="preserve">Inclui o grafo de habilidades — Seção 6</w:t>
            </w:r>
          </w:p>
        </w:tc>
      </w:tr>
      <w:tr>
        <w:tc>
          <w:tcPr>
            <w:tcW w:type="dxa" w:w="2200"/>
            <w:shd w:fill="FFFFFF" w:color="auto" w:val="clear"/>
            <w:tcMar>
              <w:top w:type="dxa" w:w="90"/>
              <w:left w:type="dxa" w:w="100"/>
              <w:bottom w:type="dxa" w:w="90"/>
              <w:right w:type="dxa" w:w="100"/>
            </w:tcMar>
            <w:vAlign w:val="center"/>
          </w:tcPr>
          <w:p>
            <w:r>
              <w:rPr>
                <w:sz w:val="18"/>
                <w:szCs w:val="18"/>
              </w:rPr>
              <w:t xml:space="preserve">Autenticação / Consentimento</w:t>
            </w:r>
          </w:p>
        </w:tc>
        <w:tc>
          <w:tcPr>
            <w:tcW w:type="dxa" w:w="4200"/>
            <w:shd w:fill="FFFFFF" w:color="auto" w:val="clear"/>
            <w:tcMar>
              <w:top w:type="dxa" w:w="90"/>
              <w:left w:type="dxa" w:w="100"/>
              <w:bottom w:type="dxa" w:w="90"/>
              <w:right w:type="dxa" w:w="100"/>
            </w:tcMar>
            <w:vAlign w:val="center"/>
          </w:tcPr>
          <w:p>
            <w:r>
              <w:rPr>
                <w:sz w:val="18"/>
                <w:szCs w:val="18"/>
              </w:rPr>
              <w:t xml:space="preserve">Identidade + registro auditável do consentimento parental</w:t>
            </w:r>
          </w:p>
        </w:tc>
        <w:tc>
          <w:tcPr>
            <w:tcW w:type="dxa" w:w="2950"/>
            <w:shd w:fill="FFFFFF" w:color="auto" w:val="clear"/>
            <w:tcMar>
              <w:top w:type="dxa" w:w="90"/>
              <w:left w:type="dxa" w:w="100"/>
              <w:bottom w:type="dxa" w:w="90"/>
              <w:right w:type="dxa" w:w="100"/>
            </w:tcMar>
            <w:vAlign w:val="center"/>
          </w:tcPr>
          <w:p>
            <w:r>
              <w:rPr>
                <w:sz w:val="18"/>
                <w:szCs w:val="18"/>
              </w:rPr>
              <w:t xml:space="preserve">Sustenta LGPD art. 14 — Seção 12</w:t>
            </w:r>
          </w:p>
        </w:tc>
      </w:tr>
    </w:tbl>
    <w:p>
      <w:pPr>
        <w:spacing w:after="160"/>
      </w:pPr>
    </w:p>
    <w:p>
      <w:pPr>
        <w:pStyle w:val="Heading1"/>
        <w:pBdr>
          <w:bottom w:val="single" w:color="2E74B5" w:sz="6" w:space="4"/>
        </w:pBdr>
        <w:spacing w:after="200" w:before="420"/>
      </w:pPr>
      <w:r>
        <w:rPr>
          <w:b/>
          <w:bCs/>
          <w:color w:val="1F3864"/>
          <w:sz w:val="30"/>
          <w:szCs w:val="30"/>
        </w:rPr>
        <w:t xml:space="preserve">5. Decisões de Arquitetura (ADRs)</w:t>
      </w:r>
    </w:p>
    <w:p>
      <w:pPr>
        <w:spacing w:after="160" w:line="300"/>
      </w:pPr>
      <w:r>
        <w:rPr>
          <w:sz w:val="22"/>
          <w:szCs w:val="22"/>
        </w:rPr>
        <w:t xml:space="preserve">Cada decisão é registrada no formato Contexto → Decisão → Alternativas → Consequências, para que o grupo consiga defender as escolhas na apresentação em vez de só descrevê-las.</w:t>
      </w:r>
    </w:p>
    <w:p>
      <w:pPr>
        <w:pStyle w:val="Heading3"/>
        <w:spacing w:after="80" w:before="200"/>
      </w:pPr>
      <w:r>
        <w:rPr>
          <w:b/>
          <w:bCs/>
          <w:color w:val="2E74B5"/>
          <w:sz w:val="22"/>
          <w:szCs w:val="22"/>
        </w:rPr>
        <w:t xml:space="preserve">ADR-01 — Grafo de habilidades como estrutura central do domínio</w:t>
      </w:r>
    </w:p>
    <w:p>
      <w:pPr>
        <w:spacing w:after="160" w:line="300"/>
      </w:pPr>
      <w:r>
        <w:rPr>
          <w:b/>
          <w:bCs/>
          <w:sz w:val="22"/>
          <w:szCs w:val="22"/>
        </w:rPr>
        <w:t xml:space="preserve">Contexto: </w:t>
      </w:r>
      <w:r>
        <w:rPr>
          <w:sz w:val="22"/>
          <w:szCs w:val="22"/>
        </w:rPr>
        <w:t xml:space="preserve">Toda personalização depende de saber quais habilidades existem, em que ordem se constroem e quais itens ensinam cada uma.</w:t>
      </w:r>
    </w:p>
    <w:p>
      <w:pPr>
        <w:spacing w:after="160" w:line="300"/>
      </w:pPr>
      <w:r>
        <w:rPr>
          <w:b/>
          <w:bCs/>
          <w:sz w:val="22"/>
          <w:szCs w:val="22"/>
        </w:rPr>
        <w:t xml:space="preserve">Decisão: </w:t>
      </w:r>
      <w:r>
        <w:rPr>
          <w:sz w:val="22"/>
          <w:szCs w:val="22"/>
        </w:rPr>
        <w:t xml:space="preserve">Modelar o conteúdo pedagógico como um grafo acíclico dirigido (DAG) de habilidades com pré-requisitos, e etiquetar cada item do banco de atividades com uma ou mais habilidades desse grafo.</w:t>
      </w:r>
    </w:p>
    <w:p>
      <w:pPr>
        <w:spacing w:after="160" w:line="300"/>
      </w:pPr>
      <w:r>
        <w:rPr>
          <w:b/>
          <w:bCs/>
          <w:sz w:val="22"/>
          <w:szCs w:val="22"/>
        </w:rPr>
        <w:t xml:space="preserve">Alternativas consideradas: </w:t>
      </w:r>
      <w:r>
        <w:rPr>
          <w:sz w:val="22"/>
          <w:szCs w:val="22"/>
        </w:rPr>
        <w:t xml:space="preserve">(a) Categorização plana por "matéria/série", sem pré-requisitos explícitos — mais simples, mas não permite verificar se a criança está pronta para avançar; (b) usar uma taxonomia pedagógica pronta de terceiros — reduz trabalho de conteúdo, mas nenhuma das opções gratuitas cobre bem dificuldades específicas como discalculia.</w:t>
      </w:r>
    </w:p>
    <w:p>
      <w:pPr>
        <w:spacing w:after="160" w:line="300"/>
      </w:pPr>
      <w:r>
        <w:rPr>
          <w:b/>
          <w:bCs/>
          <w:sz w:val="22"/>
          <w:szCs w:val="22"/>
        </w:rPr>
        <w:t xml:space="preserve">Consequências / tradeoffs: </w:t>
      </w:r>
      <w:r>
        <w:rPr>
          <w:sz w:val="22"/>
          <w:szCs w:val="22"/>
        </w:rPr>
        <w:t xml:space="preserve">Exige trabalho de curadoria pedagógica antes de qualquer código de personalização funcionar — é a fundação, não um detalhe. Sem o grafo, o resto da arquitetura (BKT, motor de recomendação) não tem em que se apoiar.</w:t>
      </w:r>
    </w:p>
    <w:p>
      <w:pPr>
        <w:spacing w:after="100"/>
      </w:pPr>
    </w:p>
    <w:p>
      <w:pPr>
        <w:pStyle w:val="Heading3"/>
        <w:spacing w:after="80" w:before="200"/>
      </w:pPr>
      <w:r>
        <w:rPr>
          <w:b/>
          <w:bCs/>
          <w:color w:val="2E74B5"/>
          <w:sz w:val="22"/>
          <w:szCs w:val="22"/>
        </w:rPr>
        <w:t xml:space="preserve">ADR-02 — Bayesian Knowledge Tracing (BKT) em vez de Deep Knowledge Tracing (DKT)</w:t>
      </w:r>
    </w:p>
    <w:p>
      <w:pPr>
        <w:spacing w:after="160" w:line="300"/>
      </w:pPr>
      <w:r>
        <w:rPr>
          <w:b/>
          <w:bCs/>
          <w:sz w:val="22"/>
          <w:szCs w:val="22"/>
        </w:rPr>
        <w:t xml:space="preserve">Contexto: </w:t>
      </w:r>
      <w:r>
        <w:rPr>
          <w:sz w:val="22"/>
          <w:szCs w:val="22"/>
        </w:rPr>
        <w:t xml:space="preserve">É preciso inferir a probabilidade de domínio de cada habilidade a partir do histórico de respostas.</w:t>
      </w:r>
    </w:p>
    <w:p>
      <w:pPr>
        <w:spacing w:after="160" w:line="300"/>
      </w:pPr>
      <w:r>
        <w:rPr>
          <w:b/>
          <w:bCs/>
          <w:sz w:val="22"/>
          <w:szCs w:val="22"/>
        </w:rPr>
        <w:t xml:space="preserve">Decisão: </w:t>
      </w:r>
      <w:r>
        <w:rPr>
          <w:sz w:val="22"/>
          <w:szCs w:val="22"/>
        </w:rPr>
        <w:t xml:space="preserve">Usar BKT: um modelo probabilístico com 4 parâmetros por habilidade (P(L0), P(T), P(S), P(G)), atualizado por fórmula fechada a cada resposta.</w:t>
      </w:r>
    </w:p>
    <w:p>
      <w:pPr>
        <w:spacing w:after="160" w:line="300"/>
      </w:pPr>
      <w:r>
        <w:rPr>
          <w:b/>
          <w:bCs/>
          <w:sz w:val="22"/>
          <w:szCs w:val="22"/>
        </w:rPr>
        <w:t xml:space="preserve">Alternativas consideradas: </w:t>
      </w:r>
      <w:r>
        <w:rPr>
          <w:sz w:val="22"/>
          <w:szCs w:val="22"/>
        </w:rPr>
        <w:t xml:space="preserve">Deep Knowledge Tracing (rede neural recorrente) tem melhor desempenho relatado na literatura em bases grandes, mas exige milhares de sequências de treino que um piloto/MVP não tem, e é uma caixa-preta — não dá para explicar ao professor por que o sistema decidiu algo.</w:t>
      </w:r>
    </w:p>
    <w:p>
      <w:pPr>
        <w:spacing w:after="160" w:line="300"/>
      </w:pPr>
      <w:r>
        <w:rPr>
          <w:b/>
          <w:bCs/>
          <w:sz w:val="22"/>
          <w:szCs w:val="22"/>
        </w:rPr>
        <w:t xml:space="preserve">Consequências / tradeoffs: </w:t>
      </w:r>
      <w:r>
        <w:rPr>
          <w:sz w:val="22"/>
          <w:szCs w:val="22"/>
        </w:rPr>
        <w:t xml:space="preserve">BKT é auditável (dá para inspecionar P(L) diretamente no banco de dados), leve o suficiente para rodar sem GPU, e citado na literatura como competitivo com abordagens mais complexas quando os dados são escassos. Custo: exige calibrar os 4 parâmetros por habilidade (e idealmente por subgrupo de dificuldade) manualmente ou com poucos dados — Seção 7.1 detalha isso.</w:t>
      </w:r>
    </w:p>
    <w:p>
      <w:pPr>
        <w:spacing w:after="100"/>
      </w:pPr>
    </w:p>
    <w:p>
      <w:pPr>
        <w:pStyle w:val="Heading3"/>
        <w:spacing w:after="80" w:before="200"/>
      </w:pPr>
      <w:r>
        <w:rPr>
          <w:b/>
          <w:bCs/>
          <w:color w:val="2E74B5"/>
          <w:sz w:val="22"/>
          <w:szCs w:val="22"/>
        </w:rPr>
        <w:t xml:space="preserve">ADR-03 — Motor de recomendação por regras em vez de sistema de recomendação por ML</w:t>
      </w:r>
    </w:p>
    <w:p>
      <w:pPr>
        <w:spacing w:after="160" w:line="300"/>
      </w:pPr>
      <w:r>
        <w:rPr>
          <w:b/>
          <w:bCs/>
          <w:sz w:val="22"/>
          <w:szCs w:val="22"/>
        </w:rPr>
        <w:t xml:space="preserve">Contexto: </w:t>
      </w:r>
      <w:r>
        <w:rPr>
          <w:sz w:val="22"/>
          <w:szCs w:val="22"/>
        </w:rPr>
        <w:t xml:space="preserve">Com P(L) calculado, o sistema precisa decidir qual item mostrar em seguida.</w:t>
      </w:r>
    </w:p>
    <w:p>
      <w:pPr>
        <w:spacing w:after="160" w:line="300"/>
      </w:pPr>
      <w:r>
        <w:rPr>
          <w:b/>
          <w:bCs/>
          <w:sz w:val="22"/>
          <w:szCs w:val="22"/>
        </w:rPr>
        <w:t xml:space="preserve">Decisão: </w:t>
      </w:r>
      <w:r>
        <w:rPr>
          <w:sz w:val="22"/>
          <w:szCs w:val="22"/>
        </w:rPr>
        <w:t xml:space="preserve">Implementar uma árvore de decisão determinística e legível (zona de desenvolvimento proximal, repetição espaçada, scaffolding em erro recorrente) sobre os valores de P(L).</w:t>
      </w:r>
    </w:p>
    <w:p>
      <w:pPr>
        <w:spacing w:after="160" w:line="300"/>
      </w:pPr>
      <w:r>
        <w:rPr>
          <w:b/>
          <w:bCs/>
          <w:sz w:val="22"/>
          <w:szCs w:val="22"/>
        </w:rPr>
        <w:t xml:space="preserve">Alternativas consideradas: </w:t>
      </w:r>
      <w:r>
        <w:rPr>
          <w:sz w:val="22"/>
          <w:szCs w:val="22"/>
        </w:rPr>
        <w:t xml:space="preserve">Um recomendador treinado (ex.: filtragem colaborativa, bandits contextuais) se adapta sozinho com o tempo, mas precisa de volume de interações que o projeto não terá nos primeiros meses, e reintroduz o problema de caixa-preta do ADR-02.</w:t>
      </w:r>
    </w:p>
    <w:p>
      <w:pPr>
        <w:spacing w:after="160" w:line="300"/>
      </w:pPr>
      <w:r>
        <w:rPr>
          <w:b/>
          <w:bCs/>
          <w:sz w:val="22"/>
          <w:szCs w:val="22"/>
        </w:rPr>
        <w:t xml:space="preserve">Consequências / tradeoffs: </w:t>
      </w:r>
      <w:r>
        <w:rPr>
          <w:sz w:val="22"/>
          <w:szCs w:val="22"/>
        </w:rPr>
        <w:t xml:space="preserve">Regras são fáceis de testar unitariamente e de defender na banca. O custo é que elas não melhoram sozinhas — qualquer ajuste fino exige um humano revisitar as regras, o que é aceitável na escala de um piloto.</w:t>
      </w:r>
    </w:p>
    <w:p>
      <w:pPr>
        <w:spacing w:after="100"/>
      </w:pPr>
    </w:p>
    <w:p>
      <w:pPr>
        <w:pStyle w:val="Heading3"/>
        <w:spacing w:after="80" w:before="200"/>
      </w:pPr>
      <w:r>
        <w:rPr>
          <w:b/>
          <w:bCs/>
          <w:color w:val="2E74B5"/>
          <w:sz w:val="22"/>
          <w:szCs w:val="22"/>
        </w:rPr>
        <w:t xml:space="preserve">ADR-04 — Arquitetura de serviços simples (não microserviços completos) para o MVP</w:t>
      </w:r>
    </w:p>
    <w:p>
      <w:pPr>
        <w:spacing w:after="160" w:line="300"/>
      </w:pPr>
      <w:r>
        <w:rPr>
          <w:b/>
          <w:bCs/>
          <w:sz w:val="22"/>
          <w:szCs w:val="22"/>
        </w:rPr>
        <w:t xml:space="preserve">Contexto: </w:t>
      </w:r>
      <w:r>
        <w:rPr>
          <w:sz w:val="22"/>
          <w:szCs w:val="22"/>
        </w:rPr>
        <w:t xml:space="preserve">O diagrama de containers (Seção 4) mostra múltiplos serviços logicamente separados.</w:t>
      </w:r>
    </w:p>
    <w:p>
      <w:pPr>
        <w:spacing w:after="160" w:line="300"/>
      </w:pPr>
      <w:r>
        <w:rPr>
          <w:b/>
          <w:bCs/>
          <w:sz w:val="22"/>
          <w:szCs w:val="22"/>
        </w:rPr>
        <w:t xml:space="preserve">Decisão: </w:t>
      </w:r>
      <w:r>
        <w:rPr>
          <w:sz w:val="22"/>
          <w:szCs w:val="22"/>
        </w:rPr>
        <w:t xml:space="preserve">Implementar os serviços como módulos dentro de um único processo/deploy (ou no máximo 2 processos) no MVP, mantendo as fronteiras de responsabilidade em código (pastas/módulos), e só extrair em serviços de fato implantados separadamente se a escala exigir.</w:t>
      </w:r>
    </w:p>
    <w:p>
      <w:pPr>
        <w:spacing w:after="160" w:line="300"/>
      </w:pPr>
      <w:r>
        <w:rPr>
          <w:b/>
          <w:bCs/>
          <w:sz w:val="22"/>
          <w:szCs w:val="22"/>
        </w:rPr>
        <w:t xml:space="preserve">Alternativas consideradas: </w:t>
      </w:r>
      <w:r>
        <w:rPr>
          <w:sz w:val="22"/>
          <w:szCs w:val="22"/>
        </w:rPr>
        <w:t xml:space="preserve">Microserviços completos desde o início (containers Docker separados, orquestração, comunicação de rede entre eles) — mais "correto" para um sistema em produção grande, mas overengineering para um piloto com poucas escolas.</w:t>
      </w:r>
    </w:p>
    <w:p>
      <w:pPr>
        <w:spacing w:after="160" w:line="300"/>
      </w:pPr>
      <w:r>
        <w:rPr>
          <w:b/>
          <w:bCs/>
          <w:sz w:val="22"/>
          <w:szCs w:val="22"/>
        </w:rPr>
        <w:t xml:space="preserve">Consequências / tradeoffs: </w:t>
      </w:r>
      <w:r>
        <w:rPr>
          <w:sz w:val="22"/>
          <w:szCs w:val="22"/>
        </w:rPr>
        <w:t xml:space="preserve">Simplifica deploy, debug e custo de infraestrutura. A separação lógica (Seção 4) já deixa claro onde cortar se o sistema crescer — trocar de monólito modular para serviços separados é um refactor localizado, não uma reescrita.</w:t>
      </w:r>
    </w:p>
    <w:p>
      <w:pPr>
        <w:spacing w:after="100"/>
      </w:pPr>
    </w:p>
    <w:p>
      <w:pPr>
        <w:pStyle w:val="Heading3"/>
        <w:spacing w:after="80" w:before="200"/>
      </w:pPr>
      <w:r>
        <w:rPr>
          <w:b/>
          <w:bCs/>
          <w:color w:val="2E74B5"/>
          <w:sz w:val="22"/>
          <w:szCs w:val="22"/>
        </w:rPr>
        <w:t xml:space="preserve">ADR-05 — Perfilamento contextual/pedagógico, nunca comportamental</w:t>
      </w:r>
    </w:p>
    <w:p>
      <w:pPr>
        <w:spacing w:after="160" w:line="300"/>
      </w:pPr>
      <w:r>
        <w:rPr>
          <w:b/>
          <w:bCs/>
          <w:sz w:val="22"/>
          <w:szCs w:val="22"/>
        </w:rPr>
        <w:t xml:space="preserve">Contexto: </w:t>
      </w:r>
      <w:r>
        <w:rPr>
          <w:sz w:val="22"/>
          <w:szCs w:val="22"/>
        </w:rPr>
        <w:t xml:space="preserve">LGPD art. 14 e o ECA Digital (Lei 15.211/2025) restringem a construção de perfis individualizados de crianças a partir de cruzamento de dados, e favorecem personalização baseada no contexto imediato da interação.</w:t>
      </w:r>
    </w:p>
    <w:p>
      <w:pPr>
        <w:spacing w:after="160" w:line="300"/>
      </w:pPr>
      <w:r>
        <w:rPr>
          <w:b/>
          <w:bCs/>
          <w:sz w:val="22"/>
          <w:szCs w:val="22"/>
        </w:rPr>
        <w:t xml:space="preserve">Decisão: </w:t>
      </w:r>
      <w:r>
        <w:rPr>
          <w:sz w:val="22"/>
          <w:szCs w:val="22"/>
        </w:rPr>
        <w:t xml:space="preserve">Todo evento registrado carrega um campo explícito de finalidade (ex.: finalidade: pedagogica), a personalização usa apenas sinais dentro da própria atividade pedagógica (correção, tempo, hints), e nenhum dado é usado para fins publicitários ou de perfil comportamental fora do contexto de aprendizagem.</w:t>
      </w:r>
    </w:p>
    <w:p>
      <w:pPr>
        <w:spacing w:after="160" w:line="300"/>
      </w:pPr>
      <w:r>
        <w:rPr>
          <w:b/>
          <w:bCs/>
          <w:sz w:val="22"/>
          <w:szCs w:val="22"/>
        </w:rPr>
        <w:t xml:space="preserve">Alternativas consideradas: </w:t>
      </w:r>
      <w:r>
        <w:rPr>
          <w:sz w:val="22"/>
          <w:szCs w:val="22"/>
        </w:rPr>
        <w:t xml:space="preserve">Coletar mais sinais (ex.: padrões de uso fora do app, dados de outros serviços) daria um modelo mais rico, mas colide diretamente com o marco legal e com o princípio de minimização de dados.</w:t>
      </w:r>
    </w:p>
    <w:p>
      <w:pPr>
        <w:spacing w:after="160" w:line="300"/>
      </w:pPr>
      <w:r>
        <w:rPr>
          <w:b/>
          <w:bCs/>
          <w:sz w:val="22"/>
          <w:szCs w:val="22"/>
        </w:rPr>
        <w:t xml:space="preserve">Consequências / tradeoffs: </w:t>
      </w:r>
      <w:r>
        <w:rPr>
          <w:sz w:val="22"/>
          <w:szCs w:val="22"/>
        </w:rPr>
        <w:t xml:space="preserve">O modelo do aluno fica mais simples e mais fácil de auditar/explicar a um responsável ou à ANPD, ao custo de não capturar sinais que poderiam melhorar a personalização. Esse tradeoff é deliberado e deve ser mencionado na apresentação como uma escolha de design, não uma limitação esquecida.</w:t>
      </w:r>
    </w:p>
    <w:p>
      <w:pPr>
        <w:spacing w:after="100"/>
      </w:pPr>
    </w:p>
    <w:p>
      <w:pPr>
        <w:pStyle w:val="Heading3"/>
        <w:spacing w:after="80" w:before="200"/>
      </w:pPr>
      <w:r>
        <w:rPr>
          <w:b/>
          <w:bCs/>
          <w:color w:val="2E74B5"/>
          <w:sz w:val="22"/>
          <w:szCs w:val="22"/>
        </w:rPr>
        <w:t xml:space="preserve">ADR-06 — Cliente offline-first com sincronização posterior</w:t>
      </w:r>
    </w:p>
    <w:p>
      <w:pPr>
        <w:spacing w:after="160" w:line="300"/>
      </w:pPr>
      <w:r>
        <w:rPr>
          <w:b/>
          <w:bCs/>
          <w:sz w:val="22"/>
          <w:szCs w:val="22"/>
        </w:rPr>
        <w:t xml:space="preserve">Contexto: </w:t>
      </w:r>
      <w:r>
        <w:rPr>
          <w:sz w:val="22"/>
          <w:szCs w:val="22"/>
        </w:rPr>
        <w:t xml:space="preserve">Parte da rede pública brasileira tem conectividade instável em sala de aula (Seção 2.4 do resumo de pesquisa).</w:t>
      </w:r>
    </w:p>
    <w:p>
      <w:pPr>
        <w:spacing w:after="160" w:line="300"/>
      </w:pPr>
      <w:r>
        <w:rPr>
          <w:b/>
          <w:bCs/>
          <w:sz w:val="22"/>
          <w:szCs w:val="22"/>
        </w:rPr>
        <w:t xml:space="preserve">Decisão: </w:t>
      </w:r>
      <w:r>
        <w:rPr>
          <w:sz w:val="22"/>
          <w:szCs w:val="22"/>
        </w:rPr>
        <w:t xml:space="preserve">O app da criança guarda um lote de itens localmente, calcula respostas e enfileira eventos localmente quando offline, sincronizando com a API quando a conexão volta.</w:t>
      </w:r>
    </w:p>
    <w:p>
      <w:pPr>
        <w:spacing w:after="160" w:line="300"/>
      </w:pPr>
      <w:r>
        <w:rPr>
          <w:b/>
          <w:bCs/>
          <w:sz w:val="22"/>
          <w:szCs w:val="22"/>
        </w:rPr>
        <w:t xml:space="preserve">Alternativas consideradas: </w:t>
      </w:r>
      <w:r>
        <w:rPr>
          <w:sz w:val="22"/>
          <w:szCs w:val="22"/>
        </w:rPr>
        <w:t xml:space="preserve">Exigir conexão constante — mais simples de implementar, mas exclui exatamente o público que mais se beneficiaria de um produto gratuito voltado à rede pública.</w:t>
      </w:r>
    </w:p>
    <w:p>
      <w:pPr>
        <w:spacing w:after="160" w:line="300"/>
      </w:pPr>
      <w:r>
        <w:rPr>
          <w:b/>
          <w:bCs/>
          <w:sz w:val="22"/>
          <w:szCs w:val="22"/>
        </w:rPr>
        <w:t xml:space="preserve">Consequências / tradeoffs: </w:t>
      </w:r>
      <w:r>
        <w:rPr>
          <w:sz w:val="22"/>
          <w:szCs w:val="22"/>
        </w:rPr>
        <w:t xml:space="preserve">Adiciona complexidade de sincronização e resolução de conflito (ex.: o quê fazer se dois dispositivos da mesma criança sincronizarem fora de ordem), mas é indispensável para a missão de impacto social do projeto.</w:t>
      </w:r>
    </w:p>
    <w:p>
      <w:pPr>
        <w:spacing w:after="100"/>
      </w:pPr>
    </w:p>
    <w:p>
      <w:pPr>
        <w:pStyle w:val="Heading1"/>
        <w:pBdr>
          <w:bottom w:val="single" w:color="2E74B5" w:sz="6" w:space="4"/>
        </w:pBdr>
        <w:spacing w:after="200" w:before="420"/>
      </w:pPr>
      <w:r>
        <w:rPr>
          <w:b/>
          <w:bCs/>
          <w:color w:val="1F3864"/>
          <w:sz w:val="30"/>
          <w:szCs w:val="30"/>
        </w:rPr>
        <w:t xml:space="preserve">6. Modelo do Domínio: Grafo de Habilidades</w:t>
      </w:r>
    </w:p>
    <w:p>
      <w:pPr>
        <w:spacing w:after="160" w:line="300"/>
      </w:pPr>
      <w:r>
        <w:rPr>
          <w:sz w:val="22"/>
          <w:szCs w:val="22"/>
        </w:rPr>
        <w:t xml:space="preserve">Implementação prática do ADR-01. O exemplo abaixo cobre uma trilha inicial de alfabetização; o mesmo padrão se aplica a senso numérico (discalculia) trocando os nós.</w:t>
      </w:r>
    </w:p>
    <w:p>
      <w:pPr>
        <w:spacing w:after="80" w:before="120"/>
        <w:jc w:val="center"/>
      </w:pPr>
      <w:r>
        <w:drawing>
          <wp:inline distT="0" distB="0" distL="0" distR="0">
            <wp:extent cx="5715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00450"/>
                    </a:xfrm>
                    <a:prstGeom prst="rect">
                      <a:avLst/>
                    </a:prstGeom>
                  </pic:spPr>
                </pic:pic>
              </a:graphicData>
            </a:graphic>
          </wp:inline>
        </w:drawing>
      </w:r>
    </w:p>
    <w:p>
      <w:pPr>
        <w:spacing w:after="240"/>
        <w:jc w:val="center"/>
      </w:pPr>
      <w:r>
        <w:rPr>
          <w:i/>
          <w:iCs/>
          <w:color w:val="595959"/>
          <w:sz w:val="19"/>
          <w:szCs w:val="19"/>
        </w:rPr>
        <w:t xml:space="preserve">Figura 3 — Exemplo de grafo de habilidades para alfabetização.</w:t>
      </w:r>
    </w:p>
    <w:p>
      <w:pPr>
        <w:spacing w:after="160" w:line="300"/>
      </w:pPr>
      <w:r>
        <w:rPr>
          <w:sz w:val="22"/>
          <w:szCs w:val="22"/>
        </w:rPr>
        <w:t xml:space="preserve">Cada item do banco de conteúdo carrega uma lista de habilidades associadas (campo habilidades[] na Seção 8). O motor de recomendação só sugere um nó do grafo quando todos os seus pré-requisitos diretos têm P(L) acima de um limiar configurável (ex.: 0,6) — essa é a regra de "zona de desenvolvimento proximal" citada no ADR-03.</w:t>
      </w:r>
    </w:p>
    <w:p>
      <w:pPr>
        <w:pStyle w:val="Heading1"/>
        <w:pBdr>
          <w:bottom w:val="single" w:color="2E74B5" w:sz="6" w:space="4"/>
        </w:pBdr>
        <w:spacing w:after="200" w:before="420"/>
      </w:pPr>
      <w:r>
        <w:rPr>
          <w:b/>
          <w:bCs/>
          <w:color w:val="1F3864"/>
          <w:sz w:val="30"/>
          <w:szCs w:val="30"/>
        </w:rPr>
        <w:t xml:space="preserve">7. Motor de Personalização</w:t>
      </w:r>
    </w:p>
    <w:p>
      <w:pPr>
        <w:pStyle w:val="Heading2"/>
        <w:spacing w:after="120" w:before="300"/>
      </w:pPr>
      <w:r>
        <w:rPr>
          <w:b/>
          <w:bCs/>
          <w:color w:val="1F3864"/>
          <w:sz w:val="24"/>
          <w:szCs w:val="24"/>
        </w:rPr>
        <w:t xml:space="preserve">7.1 Bayesian Knowledge Tracing (BKT)</w:t>
      </w:r>
    </w:p>
    <w:p>
      <w:pPr>
        <w:spacing w:after="160" w:line="300"/>
      </w:pPr>
      <w:r>
        <w:rPr>
          <w:sz w:val="22"/>
          <w:szCs w:val="22"/>
        </w:rPr>
        <w:t xml:space="preserve">Para cada par (aluno, habilidade), o sistema mantém P(L) — probabilidade de domínio — e quatro parâmetros: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3864" w:color="auto" w:val="clear"/>
            <w:tcMar>
              <w:top w:type="dxa" w:w="100"/>
              <w:left w:type="dxa" w:w="100"/>
              <w:bottom w:type="dxa" w:w="100"/>
              <w:right w:type="dxa" w:w="100"/>
            </w:tcMar>
            <w:vAlign w:val="center"/>
          </w:tcPr>
          <w:p>
            <w:r>
              <w:rPr>
                <w:b/>
                <w:bCs/>
                <w:color w:val="FFFFFF"/>
                <w:sz w:val="19"/>
                <w:szCs w:val="19"/>
              </w:rPr>
              <w:t xml:space="preserve">Parâmetro</w:t>
            </w:r>
          </w:p>
        </w:tc>
        <w:tc>
          <w:tcPr>
            <w:tcW w:type="dxa" w:w="7350"/>
            <w:shd w:fill="1F3864" w:color="auto" w:val="clear"/>
            <w:tcMar>
              <w:top w:type="dxa" w:w="100"/>
              <w:left w:type="dxa" w:w="100"/>
              <w:bottom w:type="dxa" w:w="100"/>
              <w:right w:type="dxa" w:w="100"/>
            </w:tcMar>
            <w:vAlign w:val="center"/>
          </w:tcPr>
          <w:p>
            <w:r>
              <w:rPr>
                <w:b/>
                <w:bCs/>
                <w:color w:val="FFFFFF"/>
                <w:sz w:val="19"/>
                <w:szCs w:val="19"/>
              </w:rPr>
              <w:t xml:space="preserve">Significado</w:t>
            </w:r>
          </w:p>
        </w:tc>
      </w:tr>
      <w:tr>
        <w:tc>
          <w:tcPr>
            <w:tcW w:type="dxa" w:w="2000"/>
            <w:shd w:fill="FFFFFF" w:color="auto" w:val="clear"/>
            <w:tcMar>
              <w:top w:type="dxa" w:w="90"/>
              <w:left w:type="dxa" w:w="100"/>
              <w:bottom w:type="dxa" w:w="90"/>
              <w:right w:type="dxa" w:w="100"/>
            </w:tcMar>
            <w:vAlign w:val="center"/>
          </w:tcPr>
          <w:p>
            <w:r>
              <w:rPr>
                <w:sz w:val="18"/>
                <w:szCs w:val="18"/>
              </w:rPr>
              <w:t xml:space="preserve">P(L0)</w:t>
            </w:r>
          </w:p>
        </w:tc>
        <w:tc>
          <w:tcPr>
            <w:tcW w:type="dxa" w:w="7350"/>
            <w:shd w:fill="FFFFFF" w:color="auto" w:val="clear"/>
            <w:tcMar>
              <w:top w:type="dxa" w:w="90"/>
              <w:left w:type="dxa" w:w="100"/>
              <w:bottom w:type="dxa" w:w="90"/>
              <w:right w:type="dxa" w:w="100"/>
            </w:tcMar>
            <w:vAlign w:val="center"/>
          </w:tcPr>
          <w:p>
            <w:r>
              <w:rPr>
                <w:sz w:val="18"/>
                <w:szCs w:val="18"/>
              </w:rPr>
              <w:t xml:space="preserve">Probabilidade inicial de já dominar a habilidade (vem do diagnóstico inicial)</w:t>
            </w:r>
          </w:p>
        </w:tc>
      </w:tr>
      <w:tr>
        <w:tc>
          <w:tcPr>
            <w:tcW w:type="dxa" w:w="2000"/>
            <w:shd w:fill="F7F9FC" w:color="auto" w:val="clear"/>
            <w:tcMar>
              <w:top w:type="dxa" w:w="90"/>
              <w:left w:type="dxa" w:w="100"/>
              <w:bottom w:type="dxa" w:w="90"/>
              <w:right w:type="dxa" w:w="100"/>
            </w:tcMar>
            <w:vAlign w:val="center"/>
          </w:tcPr>
          <w:p>
            <w:r>
              <w:rPr>
                <w:sz w:val="18"/>
                <w:szCs w:val="18"/>
              </w:rPr>
              <w:t xml:space="preserve">P(T)</w:t>
            </w:r>
          </w:p>
        </w:tc>
        <w:tc>
          <w:tcPr>
            <w:tcW w:type="dxa" w:w="7350"/>
            <w:shd w:fill="F7F9FC" w:color="auto" w:val="clear"/>
            <w:tcMar>
              <w:top w:type="dxa" w:w="90"/>
              <w:left w:type="dxa" w:w="100"/>
              <w:bottom w:type="dxa" w:w="90"/>
              <w:right w:type="dxa" w:w="100"/>
            </w:tcMar>
            <w:vAlign w:val="center"/>
          </w:tcPr>
          <w:p>
            <w:r>
              <w:rPr>
                <w:sz w:val="18"/>
                <w:szCs w:val="18"/>
              </w:rPr>
              <w:t xml:space="preserve">Probabilidade de transição — "aprender" a habilidade em uma tentativa</w:t>
            </w:r>
          </w:p>
        </w:tc>
      </w:tr>
      <w:tr>
        <w:tc>
          <w:tcPr>
            <w:tcW w:type="dxa" w:w="2000"/>
            <w:shd w:fill="FFFFFF" w:color="auto" w:val="clear"/>
            <w:tcMar>
              <w:top w:type="dxa" w:w="90"/>
              <w:left w:type="dxa" w:w="100"/>
              <w:bottom w:type="dxa" w:w="90"/>
              <w:right w:type="dxa" w:w="100"/>
            </w:tcMar>
            <w:vAlign w:val="center"/>
          </w:tcPr>
          <w:p>
            <w:r>
              <w:rPr>
                <w:sz w:val="18"/>
                <w:szCs w:val="18"/>
              </w:rPr>
              <w:t xml:space="preserve">P(S)</w:t>
            </w:r>
          </w:p>
        </w:tc>
        <w:tc>
          <w:tcPr>
            <w:tcW w:type="dxa" w:w="7350"/>
            <w:shd w:fill="FFFFFF" w:color="auto" w:val="clear"/>
            <w:tcMar>
              <w:top w:type="dxa" w:w="90"/>
              <w:left w:type="dxa" w:w="100"/>
              <w:bottom w:type="dxa" w:w="90"/>
              <w:right w:type="dxa" w:w="100"/>
            </w:tcMar>
            <w:vAlign w:val="center"/>
          </w:tcPr>
          <w:p>
            <w:r>
              <w:rPr>
                <w:sz w:val="18"/>
                <w:szCs w:val="18"/>
              </w:rPr>
              <w:t xml:space="preserve">Slip — probabilidade de errar mesmo dominando a habilidade</w:t>
            </w:r>
          </w:p>
        </w:tc>
      </w:tr>
      <w:tr>
        <w:tc>
          <w:tcPr>
            <w:tcW w:type="dxa" w:w="2000"/>
            <w:shd w:fill="F7F9FC" w:color="auto" w:val="clear"/>
            <w:tcMar>
              <w:top w:type="dxa" w:w="90"/>
              <w:left w:type="dxa" w:w="100"/>
              <w:bottom w:type="dxa" w:w="90"/>
              <w:right w:type="dxa" w:w="100"/>
            </w:tcMar>
            <w:vAlign w:val="center"/>
          </w:tcPr>
          <w:p>
            <w:r>
              <w:rPr>
                <w:sz w:val="18"/>
                <w:szCs w:val="18"/>
              </w:rPr>
              <w:t xml:space="preserve">P(G)</w:t>
            </w:r>
          </w:p>
        </w:tc>
        <w:tc>
          <w:tcPr>
            <w:tcW w:type="dxa" w:w="7350"/>
            <w:shd w:fill="F7F9FC" w:color="auto" w:val="clear"/>
            <w:tcMar>
              <w:top w:type="dxa" w:w="90"/>
              <w:left w:type="dxa" w:w="100"/>
              <w:bottom w:type="dxa" w:w="90"/>
              <w:right w:type="dxa" w:w="100"/>
            </w:tcMar>
            <w:vAlign w:val="center"/>
          </w:tcPr>
          <w:p>
            <w:r>
              <w:rPr>
                <w:sz w:val="18"/>
                <w:szCs w:val="18"/>
              </w:rPr>
              <w:t xml:space="preserve">Guess — probabilidade de acertar mesmo sem dominar a habilidade</w:t>
            </w:r>
          </w:p>
        </w:tc>
      </w:tr>
    </w:tbl>
    <w:p>
      <w:pPr>
        <w:spacing w:after="140"/>
      </w:pPr>
    </w:p>
    <w:p>
      <w:pPr>
        <w:spacing w:after="160" w:line="300"/>
      </w:pPr>
      <w:r>
        <w:rPr>
          <w:sz w:val="22"/>
          <w:szCs w:val="22"/>
        </w:rPr>
        <w:t xml:space="preserve">A cada resposta, P(L) é atualizado por uma fórmula bayesiana fechada: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2"/>
              <w:left w:val="single" w:color="CCCCCC" w:sz="2"/>
              <w:bottom w:val="single" w:color="CCCCCC" w:sz="2"/>
              <w:right w:val="single" w:color="CCCCCC" w:sz="2"/>
            </w:tcBorders>
            <w:shd w:fill="F4F4F4" w:color="auto" w:val="clear"/>
            <w:tcMar>
              <w:top w:type="dxa" w:w="160"/>
              <w:left w:type="dxa" w:w="220"/>
              <w:bottom w:type="dxa" w:w="160"/>
              <w:right w:type="dxa" w:w="220"/>
            </w:tcMar>
          </w:tcPr>
          <w:p>
            <w:pPr>
              <w:spacing w:after="0" w:line="260"/>
            </w:pPr>
            <w:r>
              <w:rPr>
                <w:rFonts w:ascii="Consolas" w:cs="Consolas" w:eastAsia="Consolas" w:hAnsi="Consolas"/>
                <w:color w:val="1A1A1A"/>
                <w:sz w:val="19"/>
                <w:szCs w:val="19"/>
              </w:rPr>
              <w:t xml:space="preserve">se resposta correta:</w:t>
            </w:r>
          </w:p>
          <w:p>
            <w:pPr>
              <w:spacing w:after="0" w:line="260"/>
            </w:pPr>
            <w:r>
              <w:rPr>
                <w:rFonts w:ascii="Consolas" w:cs="Consolas" w:eastAsia="Consolas" w:hAnsi="Consolas"/>
                <w:color w:val="1A1A1A"/>
                <w:sz w:val="19"/>
                <w:szCs w:val="19"/>
              </w:rPr>
              <w:t xml:space="preserve">  P(L|correto) = P(L)·(1-P(S)) / [P(L)·(1-P(S)) + (1-P(L))·P(G)]</w:t>
            </w:r>
          </w:p>
          <w:p>
            <w:pPr>
              <w:spacing w:after="0" w:line="260"/>
            </w:pPr>
            <w:r>
              <w:rPr>
                <w:rFonts w:ascii="Consolas" w:cs="Consolas" w:eastAsia="Consolas" w:hAnsi="Consolas"/>
                <w:color w:val="1A1A1A"/>
                <w:sz w:val="19"/>
                <w:szCs w:val="19"/>
              </w:rPr>
              <w:t xml:space="preserve">se resposta incorreta:</w:t>
            </w:r>
          </w:p>
          <w:p>
            <w:pPr>
              <w:spacing w:after="0" w:line="260"/>
            </w:pPr>
            <w:r>
              <w:rPr>
                <w:rFonts w:ascii="Consolas" w:cs="Consolas" w:eastAsia="Consolas" w:hAnsi="Consolas"/>
                <w:color w:val="1A1A1A"/>
                <w:sz w:val="19"/>
                <w:szCs w:val="19"/>
              </w:rPr>
              <w:t xml:space="preserve">  P(L|incorreto) = P(L)·P(S) / [P(L)·P(S) + (1-P(L))·(1-P(G))]</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P(L_próximo) = P(L|observado) + (1 - P(L|observado)) · P(T)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26A00" w:sz="4"/>
              <w:left w:val="single" w:color="B26A00" w:sz="24"/>
              <w:bottom w:val="single" w:color="B26A00" w:sz="4"/>
              <w:right w:val="single" w:color="B26A00" w:sz="4"/>
            </w:tcBorders>
            <w:shd w:fill="FCEFDC" w:color="auto" w:val="clear"/>
            <w:tcMar>
              <w:top w:type="dxa" w:w="150"/>
              <w:left w:type="dxa" w:w="200"/>
              <w:bottom w:type="dxa" w:w="150"/>
              <w:right w:type="dxa" w:w="200"/>
            </w:tcMar>
          </w:tcPr>
          <w:p>
            <w:pPr>
              <w:spacing w:after="80"/>
            </w:pPr>
            <w:r>
              <w:rPr>
                <w:b/>
                <w:bCs/>
                <w:color w:val="7A4900"/>
                <w:sz w:val="22"/>
                <w:szCs w:val="22"/>
              </w:rPr>
              <w:t xml:space="preserve">Ponto de atenção pedagógico</w:t>
            </w:r>
          </w:p>
          <w:p>
            <w:pPr>
              <w:spacing w:after="0" w:line="280"/>
            </w:pPr>
            <w:r>
              <w:rPr>
                <w:color w:val="333333"/>
                <w:sz w:val="21"/>
                <w:szCs w:val="21"/>
              </w:rPr>
              <w:t xml:space="preserve">P(S) e P(G) não devem ser globais. Uma criança com discalculia pode ter P(S) mais alto em tarefas numéricas por razões diferentes de uma criança com déficit de atenção. Calibrar esses parâmetros por criança (ou por subgrupo, se o volume de dados for pequeno) é o que diferencia um sistema genérico de um que realmente considera dificuldades específicas — ponto levantado no resumo de pesquisa sobre a fragilidade de tratar "dificuldade de aprendizagem" como categoria única.</w:t>
            </w:r>
          </w:p>
        </w:tc>
      </w:tr>
    </w:tbl>
    <w:p>
      <w:pPr>
        <w:pStyle w:val="Heading2"/>
        <w:spacing w:after="120" w:before="300"/>
      </w:pPr>
      <w:r>
        <w:rPr>
          <w:b/>
          <w:bCs/>
          <w:color w:val="1F3864"/>
          <w:sz w:val="24"/>
          <w:szCs w:val="24"/>
        </w:rPr>
        <w:t xml:space="preserve">7.2 Motor de Recomendação (regras)</w:t>
      </w:r>
    </w:p>
    <w:p>
      <w:pPr>
        <w:spacing w:after="160" w:line="300"/>
      </w:pPr>
      <w:r>
        <w:rPr>
          <w:sz w:val="22"/>
          <w:szCs w:val="22"/>
        </w:rPr>
        <w:t xml:space="preserve">Política de seleção aplicada sobre P(L), em ordem de prioridade:</w:t>
      </w:r>
    </w:p>
    <w:p>
      <w:pPr>
        <w:pStyle w:val="ListParagraph"/>
        <w:numPr>
          <w:ilvl w:val="0"/>
          <w:numId w:val="2"/>
        </w:numPr>
        <w:spacing w:after="100" w:line="280"/>
      </w:pPr>
      <w:r>
        <w:rPr>
          <w:b/>
          <w:bCs/>
          <w:sz w:val="22"/>
          <w:szCs w:val="22"/>
        </w:rPr>
        <w:t xml:space="preserve">1. Zona de desenvolvimento proximal: </w:t>
      </w:r>
      <w:r>
        <w:rPr>
          <w:sz w:val="22"/>
          <w:szCs w:val="22"/>
        </w:rPr>
        <w:t xml:space="preserve">existe habilidade com P(L) abaixo do limiar cujos pré-requisitos já estão dominados? → recomenda essa habilidade.</w:t>
      </w:r>
    </w:p>
    <w:p>
      <w:pPr>
        <w:pStyle w:val="ListParagraph"/>
        <w:numPr>
          <w:ilvl w:val="0"/>
          <w:numId w:val="2"/>
        </w:numPr>
        <w:spacing w:after="100" w:line="280"/>
      </w:pPr>
      <w:r>
        <w:rPr>
          <w:b/>
          <w:bCs/>
          <w:sz w:val="22"/>
          <w:szCs w:val="22"/>
        </w:rPr>
        <w:t xml:space="preserve">2. Repetição espaçada: </w:t>
      </w:r>
      <w:r>
        <w:rPr>
          <w:sz w:val="22"/>
          <w:szCs w:val="22"/>
        </w:rPr>
        <w:t xml:space="preserve">alguma habilidade dominada está há muito tempo sem prática? → insere item de reforço.</w:t>
      </w:r>
    </w:p>
    <w:p>
      <w:pPr>
        <w:pStyle w:val="ListParagraph"/>
        <w:numPr>
          <w:ilvl w:val="0"/>
          <w:numId w:val="2"/>
        </w:numPr>
        <w:spacing w:after="100" w:line="280"/>
      </w:pPr>
      <w:r>
        <w:rPr>
          <w:b/>
          <w:bCs/>
          <w:sz w:val="22"/>
          <w:szCs w:val="22"/>
        </w:rPr>
        <w:t xml:space="preserve">3. Scaffolding: </w:t>
      </w:r>
      <w:r>
        <w:rPr>
          <w:sz w:val="22"/>
          <w:szCs w:val="22"/>
        </w:rPr>
        <w:t xml:space="preserve">erro recorrente do mesmo tipo em sequência? → não avança a dificuldade; oferece dica ou quebra o item em subetapas antes do próximo item (técnica de tutoria por etapas, com melhor resultado reportado na meta-análise citada no resumo de pesquisa).</w:t>
      </w:r>
    </w:p>
    <w:p>
      <w:pPr>
        <w:pStyle w:val="ListParagraph"/>
        <w:numPr>
          <w:ilvl w:val="0"/>
          <w:numId w:val="2"/>
        </w:numPr>
        <w:spacing w:after="100" w:line="280"/>
      </w:pPr>
      <w:r>
        <w:rPr>
          <w:b/>
          <w:bCs/>
          <w:sz w:val="22"/>
          <w:szCs w:val="22"/>
        </w:rPr>
        <w:t xml:space="preserve">4. Progressão: </w:t>
      </w:r>
      <w:r>
        <w:rPr>
          <w:sz w:val="22"/>
          <w:szCs w:val="22"/>
        </w:rPr>
        <w:t xml:space="preserve">sucesso consistente? → aumenta a dificuldade dentro da mesma habilidade antes de avançar no grafo.</w:t>
      </w:r>
    </w:p>
    <w:p>
      <w:pPr>
        <w:pStyle w:val="Heading2"/>
        <w:spacing w:after="120" w:before="300"/>
      </w:pPr>
      <w:r>
        <w:rPr>
          <w:b/>
          <w:bCs/>
          <w:color w:val="1F3864"/>
          <w:sz w:val="24"/>
          <w:szCs w:val="24"/>
        </w:rPr>
        <w:t xml:space="preserve">7.3 Fluxo de Adaptação — Diagrama de Sequência</w:t>
      </w:r>
    </w:p>
    <w:p>
      <w:pPr>
        <w:spacing w:after="160" w:line="300"/>
      </w:pPr>
      <w:r>
        <w:rPr>
          <w:sz w:val="22"/>
          <w:szCs w:val="22"/>
        </w:rPr>
        <w:t xml:space="preserve">Do envio da resposta ao recebimento do próximo exercício adaptado:</w:t>
      </w:r>
    </w:p>
    <w:p>
      <w:pPr>
        <w:spacing w:after="80" w:before="120"/>
        <w:jc w:val="center"/>
      </w:pPr>
      <w:r>
        <w:drawing>
          <wp:inline distT="0" distB="0" distL="0" distR="0">
            <wp:extent cx="53340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05350"/>
                    </a:xfrm>
                    <a:prstGeom prst="rect">
                      <a:avLst/>
                    </a:prstGeom>
                  </pic:spPr>
                </pic:pic>
              </a:graphicData>
            </a:graphic>
          </wp:inline>
        </w:drawing>
      </w:r>
    </w:p>
    <w:p>
      <w:pPr>
        <w:spacing w:after="240"/>
        <w:jc w:val="center"/>
      </w:pPr>
      <w:r>
        <w:rPr>
          <w:i/>
          <w:iCs/>
          <w:color w:val="595959"/>
          <w:sz w:val="19"/>
          <w:szCs w:val="19"/>
        </w:rPr>
        <w:t xml:space="preserve">Figura 4 — Sequência: da resposta da criança ao próximo exercício recomendado.</w:t>
      </w:r>
    </w:p>
    <w:p>
      <w:pPr>
        <w:pStyle w:val="Heading1"/>
        <w:pBdr>
          <w:bottom w:val="single" w:color="2E74B5" w:sz="6" w:space="4"/>
        </w:pBdr>
        <w:spacing w:after="200" w:before="420"/>
      </w:pPr>
      <w:r>
        <w:rPr>
          <w:b/>
          <w:bCs/>
          <w:color w:val="1F3864"/>
          <w:sz w:val="30"/>
          <w:szCs w:val="30"/>
        </w:rPr>
        <w:t xml:space="preserve">8. Modelo de Dados</w:t>
      </w:r>
    </w:p>
    <w:p>
      <w:pPr>
        <w:spacing w:after="160" w:line="300"/>
      </w:pPr>
      <w:r>
        <w:rPr>
          <w:sz w:val="22"/>
          <w:szCs w:val="22"/>
        </w:rPr>
        <w:t xml:space="preserve">Sete entidades cobrem o MVP. O par (aluno_id, habilidade_id) na entidade Domínio é, na prática, o "modelo do aluno" descrito na Seção 7.1.</w:t>
      </w:r>
    </w:p>
    <w:p>
      <w:pPr>
        <w:spacing w:after="80" w:before="120"/>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314825"/>
                    </a:xfrm>
                    <a:prstGeom prst="rect">
                      <a:avLst/>
                    </a:prstGeom>
                  </pic:spPr>
                </pic:pic>
              </a:graphicData>
            </a:graphic>
          </wp:inline>
        </w:drawing>
      </w:r>
    </w:p>
    <w:p>
      <w:pPr>
        <w:spacing w:after="240"/>
        <w:jc w:val="center"/>
      </w:pPr>
      <w:r>
        <w:rPr>
          <w:i/>
          <w:iCs/>
          <w:color w:val="595959"/>
          <w:sz w:val="19"/>
          <w:szCs w:val="19"/>
        </w:rPr>
        <w:t xml:space="preserve">Figura 5 — Modelo de dados simplificado (ER).</w:t>
      </w:r>
    </w:p>
    <w:p>
      <w:pPr>
        <w:spacing w:after="160" w:line="300"/>
      </w:pPr>
      <w:r>
        <w:rPr>
          <w:sz w:val="22"/>
          <w:szCs w:val="22"/>
        </w:rPr>
        <w:t xml:space="preserve">Toda entidade de dados pessoais (Aluno, Consentimento) usa pseudônimo em vez de identificador direto onde possível, e o campo finalidade em Evento existe justamente para deixar auditável que a coleta é pedagógica — sustenta o ADR-05.</w:t>
      </w:r>
    </w:p>
    <w:p>
      <w:pPr>
        <w:pStyle w:val="Heading1"/>
        <w:pBdr>
          <w:bottom w:val="single" w:color="2E74B5" w:sz="6" w:space="4"/>
        </w:pBdr>
        <w:spacing w:after="200" w:before="420"/>
      </w:pPr>
      <w:r>
        <w:rPr>
          <w:b/>
          <w:bCs/>
          <w:color w:val="1F3864"/>
          <w:sz w:val="30"/>
          <w:szCs w:val="30"/>
        </w:rPr>
        <w:t xml:space="preserve">9. Contratos de API (REST)</w:t>
      </w:r>
    </w:p>
    <w:p>
      <w:pPr>
        <w:spacing w:after="160" w:line="300"/>
      </w:pPr>
      <w:r>
        <w:rPr>
          <w:sz w:val="22"/>
          <w:szCs w:val="22"/>
        </w:rPr>
        <w:t xml:space="preserve">Endpoints mínimos para o MVP. Todos exigem autenticação; endpoints que tocam dados do aluno exigem consentimento válido registrado.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color="auto" w:val="clear"/>
            <w:tcMar>
              <w:top w:type="dxa" w:w="100"/>
              <w:left w:type="dxa" w:w="100"/>
              <w:bottom w:type="dxa" w:w="100"/>
              <w:right w:type="dxa" w:w="100"/>
            </w:tcMar>
            <w:vAlign w:val="center"/>
          </w:tcPr>
          <w:p>
            <w:r>
              <w:rPr>
                <w:b/>
                <w:bCs/>
                <w:color w:val="FFFFFF"/>
                <w:sz w:val="19"/>
                <w:szCs w:val="19"/>
              </w:rPr>
              <w:t xml:space="preserve">Método</w:t>
            </w:r>
          </w:p>
        </w:tc>
        <w:tc>
          <w:tcPr>
            <w:tcW w:type="dxa" w:w="3200"/>
            <w:shd w:fill="1F3864" w:color="auto" w:val="clear"/>
            <w:tcMar>
              <w:top w:type="dxa" w:w="100"/>
              <w:left w:type="dxa" w:w="100"/>
              <w:bottom w:type="dxa" w:w="100"/>
              <w:right w:type="dxa" w:w="100"/>
            </w:tcMar>
            <w:vAlign w:val="center"/>
          </w:tcPr>
          <w:p>
            <w:r>
              <w:rPr>
                <w:b/>
                <w:bCs/>
                <w:color w:val="FFFFFF"/>
                <w:sz w:val="19"/>
                <w:szCs w:val="19"/>
              </w:rPr>
              <w:t xml:space="preserve">Rota</w:t>
            </w:r>
          </w:p>
        </w:tc>
        <w:tc>
          <w:tcPr>
            <w:tcW w:type="dxa" w:w="4750"/>
            <w:shd w:fill="1F3864" w:color="auto" w:val="clear"/>
            <w:tcMar>
              <w:top w:type="dxa" w:w="100"/>
              <w:left w:type="dxa" w:w="100"/>
              <w:bottom w:type="dxa" w:w="100"/>
              <w:right w:type="dxa" w:w="100"/>
            </w:tcMar>
            <w:vAlign w:val="center"/>
          </w:tcPr>
          <w:p>
            <w:r>
              <w:rPr>
                <w:b/>
                <w:bCs/>
                <w:color w:val="FFFFFF"/>
                <w:sz w:val="19"/>
                <w:szCs w:val="19"/>
              </w:rPr>
              <w:t xml:space="preserve">Descrição</w:t>
            </w:r>
          </w:p>
        </w:tc>
      </w:tr>
      <w:tr>
        <w:tc>
          <w:tcPr>
            <w:tcW w:type="dxa" w:w="1400"/>
            <w:shd w:fill="FFFFFF" w:color="auto" w:val="clear"/>
            <w:tcMar>
              <w:top w:type="dxa" w:w="90"/>
              <w:left w:type="dxa" w:w="100"/>
              <w:bottom w:type="dxa" w:w="90"/>
              <w:right w:type="dxa" w:w="100"/>
            </w:tcMar>
            <w:vAlign w:val="center"/>
          </w:tcPr>
          <w:p>
            <w:r>
              <w:rPr>
                <w:sz w:val="18"/>
                <w:szCs w:val="18"/>
              </w:rPr>
              <w:t xml:space="preserve">POST</w:t>
            </w:r>
          </w:p>
        </w:tc>
        <w:tc>
          <w:tcPr>
            <w:tcW w:type="dxa" w:w="3200"/>
            <w:shd w:fill="FFFFFF" w:color="auto" w:val="clear"/>
            <w:tcMar>
              <w:top w:type="dxa" w:w="90"/>
              <w:left w:type="dxa" w:w="100"/>
              <w:bottom w:type="dxa" w:w="90"/>
              <w:right w:type="dxa" w:w="100"/>
            </w:tcMar>
            <w:vAlign w:val="center"/>
          </w:tcPr>
          <w:p>
            <w:r>
              <w:rPr>
                <w:sz w:val="18"/>
                <w:szCs w:val="18"/>
              </w:rPr>
              <w:t xml:space="preserve">/sessoes</w:t>
            </w:r>
          </w:p>
        </w:tc>
        <w:tc>
          <w:tcPr>
            <w:tcW w:type="dxa" w:w="4750"/>
            <w:shd w:fill="FFFFFF" w:color="auto" w:val="clear"/>
            <w:tcMar>
              <w:top w:type="dxa" w:w="90"/>
              <w:left w:type="dxa" w:w="100"/>
              <w:bottom w:type="dxa" w:w="90"/>
              <w:right w:type="dxa" w:w="100"/>
            </w:tcMar>
            <w:vAlign w:val="center"/>
          </w:tcPr>
          <w:p>
            <w:r>
              <w:rPr>
                <w:sz w:val="18"/>
                <w:szCs w:val="18"/>
              </w:rPr>
              <w:t xml:space="preserve">Abre uma sessão de uso para um aluno autenticado</w:t>
            </w:r>
          </w:p>
        </w:tc>
      </w:tr>
      <w:tr>
        <w:tc>
          <w:tcPr>
            <w:tcW w:type="dxa" w:w="1400"/>
            <w:shd w:fill="F7F9FC" w:color="auto" w:val="clear"/>
            <w:tcMar>
              <w:top w:type="dxa" w:w="90"/>
              <w:left w:type="dxa" w:w="100"/>
              <w:bottom w:type="dxa" w:w="90"/>
              <w:right w:type="dxa" w:w="100"/>
            </w:tcMar>
            <w:vAlign w:val="center"/>
          </w:tcPr>
          <w:p>
            <w:r>
              <w:rPr>
                <w:sz w:val="18"/>
                <w:szCs w:val="18"/>
              </w:rPr>
              <w:t xml:space="preserve">POST</w:t>
            </w:r>
          </w:p>
        </w:tc>
        <w:tc>
          <w:tcPr>
            <w:tcW w:type="dxa" w:w="3200"/>
            <w:shd w:fill="F7F9FC" w:color="auto" w:val="clear"/>
            <w:tcMar>
              <w:top w:type="dxa" w:w="90"/>
              <w:left w:type="dxa" w:w="100"/>
              <w:bottom w:type="dxa" w:w="90"/>
              <w:right w:type="dxa" w:w="100"/>
            </w:tcMar>
            <w:vAlign w:val="center"/>
          </w:tcPr>
          <w:p>
            <w:r>
              <w:rPr>
                <w:sz w:val="18"/>
                <w:szCs w:val="18"/>
              </w:rPr>
              <w:t xml:space="preserve">/eventos</w:t>
            </w:r>
          </w:p>
        </w:tc>
        <w:tc>
          <w:tcPr>
            <w:tcW w:type="dxa" w:w="4750"/>
            <w:shd w:fill="F7F9FC" w:color="auto" w:val="clear"/>
            <w:tcMar>
              <w:top w:type="dxa" w:w="90"/>
              <w:left w:type="dxa" w:w="100"/>
              <w:bottom w:type="dxa" w:w="90"/>
              <w:right w:type="dxa" w:w="100"/>
            </w:tcMar>
            <w:vAlign w:val="center"/>
          </w:tcPr>
          <w:p>
            <w:r>
              <w:rPr>
                <w:sz w:val="18"/>
                <w:szCs w:val="18"/>
              </w:rPr>
              <w:t xml:space="preserve">Registra uma interação (resposta a um item) e dispara a atualização de P(L)</w:t>
            </w:r>
          </w:p>
        </w:tc>
      </w:tr>
      <w:tr>
        <w:tc>
          <w:tcPr>
            <w:tcW w:type="dxa" w:w="1400"/>
            <w:shd w:fill="FFFFFF" w:color="auto" w:val="clear"/>
            <w:tcMar>
              <w:top w:type="dxa" w:w="90"/>
              <w:left w:type="dxa" w:w="100"/>
              <w:bottom w:type="dxa" w:w="90"/>
              <w:right w:type="dxa" w:w="100"/>
            </w:tcMar>
            <w:vAlign w:val="center"/>
          </w:tcPr>
          <w:p>
            <w:r>
              <w:rPr>
                <w:sz w:val="18"/>
                <w:szCs w:val="18"/>
              </w:rPr>
              <w:t xml:space="preserve">GET</w:t>
            </w:r>
          </w:p>
        </w:tc>
        <w:tc>
          <w:tcPr>
            <w:tcW w:type="dxa" w:w="3200"/>
            <w:shd w:fill="FFFFFF" w:color="auto" w:val="clear"/>
            <w:tcMar>
              <w:top w:type="dxa" w:w="90"/>
              <w:left w:type="dxa" w:w="100"/>
              <w:bottom w:type="dxa" w:w="90"/>
              <w:right w:type="dxa" w:w="100"/>
            </w:tcMar>
            <w:vAlign w:val="center"/>
          </w:tcPr>
          <w:p>
            <w:r>
              <w:rPr>
                <w:sz w:val="18"/>
                <w:szCs w:val="18"/>
              </w:rPr>
              <w:t xml:space="preserve">/alunos/{id}/proximo-item</w:t>
            </w:r>
          </w:p>
        </w:tc>
        <w:tc>
          <w:tcPr>
            <w:tcW w:type="dxa" w:w="4750"/>
            <w:shd w:fill="FFFFFF" w:color="auto" w:val="clear"/>
            <w:tcMar>
              <w:top w:type="dxa" w:w="90"/>
              <w:left w:type="dxa" w:w="100"/>
              <w:bottom w:type="dxa" w:w="90"/>
              <w:right w:type="dxa" w:w="100"/>
            </w:tcMar>
            <w:vAlign w:val="center"/>
          </w:tcPr>
          <w:p>
            <w:r>
              <w:rPr>
                <w:sz w:val="18"/>
                <w:szCs w:val="18"/>
              </w:rPr>
              <w:t xml:space="preserve">Retorna o próximo exercício recomendado pelo motor</w:t>
            </w:r>
          </w:p>
        </w:tc>
      </w:tr>
      <w:tr>
        <w:tc>
          <w:tcPr>
            <w:tcW w:type="dxa" w:w="1400"/>
            <w:shd w:fill="F7F9FC" w:color="auto" w:val="clear"/>
            <w:tcMar>
              <w:top w:type="dxa" w:w="90"/>
              <w:left w:type="dxa" w:w="100"/>
              <w:bottom w:type="dxa" w:w="90"/>
              <w:right w:type="dxa" w:w="100"/>
            </w:tcMar>
            <w:vAlign w:val="center"/>
          </w:tcPr>
          <w:p>
            <w:r>
              <w:rPr>
                <w:sz w:val="18"/>
                <w:szCs w:val="18"/>
              </w:rPr>
              <w:t xml:space="preserve">GET</w:t>
            </w:r>
          </w:p>
        </w:tc>
        <w:tc>
          <w:tcPr>
            <w:tcW w:type="dxa" w:w="3200"/>
            <w:shd w:fill="F7F9FC" w:color="auto" w:val="clear"/>
            <w:tcMar>
              <w:top w:type="dxa" w:w="90"/>
              <w:left w:type="dxa" w:w="100"/>
              <w:bottom w:type="dxa" w:w="90"/>
              <w:right w:type="dxa" w:w="100"/>
            </w:tcMar>
            <w:vAlign w:val="center"/>
          </w:tcPr>
          <w:p>
            <w:r>
              <w:rPr>
                <w:sz w:val="18"/>
                <w:szCs w:val="18"/>
              </w:rPr>
              <w:t xml:space="preserve">/alunos/{id}/dominio</w:t>
            </w:r>
          </w:p>
        </w:tc>
        <w:tc>
          <w:tcPr>
            <w:tcW w:type="dxa" w:w="4750"/>
            <w:shd w:fill="F7F9FC" w:color="auto" w:val="clear"/>
            <w:tcMar>
              <w:top w:type="dxa" w:w="90"/>
              <w:left w:type="dxa" w:w="100"/>
              <w:bottom w:type="dxa" w:w="90"/>
              <w:right w:type="dxa" w:w="100"/>
            </w:tcMar>
            <w:vAlign w:val="center"/>
          </w:tcPr>
          <w:p>
            <w:r>
              <w:rPr>
                <w:sz w:val="18"/>
                <w:szCs w:val="18"/>
              </w:rPr>
              <w:t xml:space="preserve">Retorna P(L) por habilidade — usado pelo painel do professor</w:t>
            </w:r>
          </w:p>
        </w:tc>
      </w:tr>
      <w:tr>
        <w:tc>
          <w:tcPr>
            <w:tcW w:type="dxa" w:w="1400"/>
            <w:shd w:fill="FFFFFF" w:color="auto" w:val="clear"/>
            <w:tcMar>
              <w:top w:type="dxa" w:w="90"/>
              <w:left w:type="dxa" w:w="100"/>
              <w:bottom w:type="dxa" w:w="90"/>
              <w:right w:type="dxa" w:w="100"/>
            </w:tcMar>
            <w:vAlign w:val="center"/>
          </w:tcPr>
          <w:p>
            <w:r>
              <w:rPr>
                <w:sz w:val="18"/>
                <w:szCs w:val="18"/>
              </w:rPr>
              <w:t xml:space="preserve">POST</w:t>
            </w:r>
          </w:p>
        </w:tc>
        <w:tc>
          <w:tcPr>
            <w:tcW w:type="dxa" w:w="3200"/>
            <w:shd w:fill="FFFFFF" w:color="auto" w:val="clear"/>
            <w:tcMar>
              <w:top w:type="dxa" w:w="90"/>
              <w:left w:type="dxa" w:w="100"/>
              <w:bottom w:type="dxa" w:w="90"/>
              <w:right w:type="dxa" w:w="100"/>
            </w:tcMar>
            <w:vAlign w:val="center"/>
          </w:tcPr>
          <w:p>
            <w:r>
              <w:rPr>
                <w:sz w:val="18"/>
                <w:szCs w:val="18"/>
              </w:rPr>
              <w:t xml:space="preserve">/diagnostico/{aluno_id}</w:t>
            </w:r>
          </w:p>
        </w:tc>
        <w:tc>
          <w:tcPr>
            <w:tcW w:type="dxa" w:w="4750"/>
            <w:shd w:fill="FFFFFF" w:color="auto" w:val="clear"/>
            <w:tcMar>
              <w:top w:type="dxa" w:w="90"/>
              <w:left w:type="dxa" w:w="100"/>
              <w:bottom w:type="dxa" w:w="90"/>
              <w:right w:type="dxa" w:w="100"/>
            </w:tcMar>
            <w:vAlign w:val="center"/>
          </w:tcPr>
          <w:p>
            <w:r>
              <w:rPr>
                <w:sz w:val="18"/>
                <w:szCs w:val="18"/>
              </w:rPr>
              <w:t xml:space="preserve">Envia os resultados da bateria de diagnóstico inicial</w:t>
            </w:r>
          </w:p>
        </w:tc>
      </w:tr>
      <w:tr>
        <w:tc>
          <w:tcPr>
            <w:tcW w:type="dxa" w:w="1400"/>
            <w:shd w:fill="F7F9FC" w:color="auto" w:val="clear"/>
            <w:tcMar>
              <w:top w:type="dxa" w:w="90"/>
              <w:left w:type="dxa" w:w="100"/>
              <w:bottom w:type="dxa" w:w="90"/>
              <w:right w:type="dxa" w:w="100"/>
            </w:tcMar>
            <w:vAlign w:val="center"/>
          </w:tcPr>
          <w:p>
            <w:r>
              <w:rPr>
                <w:sz w:val="18"/>
                <w:szCs w:val="18"/>
              </w:rPr>
              <w:t xml:space="preserve">POST</w:t>
            </w:r>
          </w:p>
        </w:tc>
        <w:tc>
          <w:tcPr>
            <w:tcW w:type="dxa" w:w="3200"/>
            <w:shd w:fill="F7F9FC" w:color="auto" w:val="clear"/>
            <w:tcMar>
              <w:top w:type="dxa" w:w="90"/>
              <w:left w:type="dxa" w:w="100"/>
              <w:bottom w:type="dxa" w:w="90"/>
              <w:right w:type="dxa" w:w="100"/>
            </w:tcMar>
            <w:vAlign w:val="center"/>
          </w:tcPr>
          <w:p>
            <w:r>
              <w:rPr>
                <w:sz w:val="18"/>
                <w:szCs w:val="18"/>
              </w:rPr>
              <w:t xml:space="preserve">/consentimentos</w:t>
            </w:r>
          </w:p>
        </w:tc>
        <w:tc>
          <w:tcPr>
            <w:tcW w:type="dxa" w:w="4750"/>
            <w:shd w:fill="F7F9FC" w:color="auto" w:val="clear"/>
            <w:tcMar>
              <w:top w:type="dxa" w:w="90"/>
              <w:left w:type="dxa" w:w="100"/>
              <w:bottom w:type="dxa" w:w="90"/>
              <w:right w:type="dxa" w:w="100"/>
            </w:tcMar>
            <w:vAlign w:val="center"/>
          </w:tcPr>
          <w:p>
            <w:r>
              <w:rPr>
                <w:sz w:val="18"/>
                <w:szCs w:val="18"/>
              </w:rPr>
              <w:t xml:space="preserve">Registra o consentimento do responsável (LGPD art. 14)</w:t>
            </w:r>
          </w:p>
        </w:tc>
      </w:tr>
      <w:tr>
        <w:tc>
          <w:tcPr>
            <w:tcW w:type="dxa" w:w="1400"/>
            <w:shd w:fill="FFFFFF" w:color="auto" w:val="clear"/>
            <w:tcMar>
              <w:top w:type="dxa" w:w="90"/>
              <w:left w:type="dxa" w:w="100"/>
              <w:bottom w:type="dxa" w:w="90"/>
              <w:right w:type="dxa" w:w="100"/>
            </w:tcMar>
            <w:vAlign w:val="center"/>
          </w:tcPr>
          <w:p>
            <w:r>
              <w:rPr>
                <w:sz w:val="18"/>
                <w:szCs w:val="18"/>
              </w:rPr>
              <w:t xml:space="preserve">GET</w:t>
            </w:r>
          </w:p>
        </w:tc>
        <w:tc>
          <w:tcPr>
            <w:tcW w:type="dxa" w:w="3200"/>
            <w:shd w:fill="FFFFFF" w:color="auto" w:val="clear"/>
            <w:tcMar>
              <w:top w:type="dxa" w:w="90"/>
              <w:left w:type="dxa" w:w="100"/>
              <w:bottom w:type="dxa" w:w="90"/>
              <w:right w:type="dxa" w:w="100"/>
            </w:tcMar>
            <w:vAlign w:val="center"/>
          </w:tcPr>
          <w:p>
            <w:r>
              <w:rPr>
                <w:sz w:val="18"/>
                <w:szCs w:val="18"/>
              </w:rPr>
              <w:t xml:space="preserve">/habilidades</w:t>
            </w:r>
          </w:p>
        </w:tc>
        <w:tc>
          <w:tcPr>
            <w:tcW w:type="dxa" w:w="4750"/>
            <w:shd w:fill="FFFFFF" w:color="auto" w:val="clear"/>
            <w:tcMar>
              <w:top w:type="dxa" w:w="90"/>
              <w:left w:type="dxa" w:w="100"/>
              <w:bottom w:type="dxa" w:w="90"/>
              <w:right w:type="dxa" w:w="100"/>
            </w:tcMar>
            <w:vAlign w:val="center"/>
          </w:tcPr>
          <w:p>
            <w:r>
              <w:rPr>
                <w:sz w:val="18"/>
                <w:szCs w:val="18"/>
              </w:rPr>
              <w:t xml:space="preserve">Lista o grafo de habilidades e seus pré-requisitos</w:t>
            </w:r>
          </w:p>
        </w:tc>
      </w:tr>
    </w:tbl>
    <w:p>
      <w:pPr>
        <w:spacing w:after="160"/>
      </w:pPr>
    </w:p>
    <w:p>
      <w:pPr>
        <w:pStyle w:val="Heading1"/>
        <w:pBdr>
          <w:bottom w:val="single" w:color="2E74B5" w:sz="6" w:space="4"/>
        </w:pBdr>
        <w:spacing w:after="200" w:before="420"/>
      </w:pPr>
      <w:r>
        <w:rPr>
          <w:b/>
          <w:bCs/>
          <w:color w:val="1F3864"/>
          <w:sz w:val="30"/>
          <w:szCs w:val="30"/>
        </w:rPr>
        <w:t xml:space="preserve">10. Stack Tecnológica Recomendada</w:t>
      </w:r>
    </w:p>
    <w:p>
      <w:pPr>
        <w:spacing w:after="160" w:line="300"/>
      </w:pPr>
      <w:r>
        <w:rPr>
          <w:i/>
          <w:iCs/>
          <w:color w:val="595959"/>
          <w:sz w:val="22"/>
          <w:szCs w:val="22"/>
        </w:rPr>
        <w:t xml:space="preserve">Critério de escolha: maturidade, curva de aprendizado compatível com um trabalho de graduação, e custo zero ou baixo para hospedar um piloto.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50"/>
      </w:tblGrid>
      <w:tr>
        <w:trPr>
          <w:tblHeader/>
        </w:trPr>
        <w:tc>
          <w:tcPr>
            <w:tcW w:type="dxa" w:w="2100"/>
            <w:shd w:fill="1F3864" w:color="auto" w:val="clear"/>
            <w:tcMar>
              <w:top w:type="dxa" w:w="100"/>
              <w:left w:type="dxa" w:w="100"/>
              <w:bottom w:type="dxa" w:w="100"/>
              <w:right w:type="dxa" w:w="100"/>
            </w:tcMar>
            <w:vAlign w:val="center"/>
          </w:tcPr>
          <w:p>
            <w:r>
              <w:rPr>
                <w:b/>
                <w:bCs/>
                <w:color w:val="FFFFFF"/>
                <w:sz w:val="19"/>
                <w:szCs w:val="19"/>
              </w:rPr>
              <w:t xml:space="preserve">Camada</w:t>
            </w:r>
          </w:p>
        </w:tc>
        <w:tc>
          <w:tcPr>
            <w:tcW w:type="dxa" w:w="3300"/>
            <w:shd w:fill="1F3864" w:color="auto" w:val="clear"/>
            <w:tcMar>
              <w:top w:type="dxa" w:w="100"/>
              <w:left w:type="dxa" w:w="100"/>
              <w:bottom w:type="dxa" w:w="100"/>
              <w:right w:type="dxa" w:w="100"/>
            </w:tcMar>
            <w:vAlign w:val="center"/>
          </w:tcPr>
          <w:p>
            <w:r>
              <w:rPr>
                <w:b/>
                <w:bCs/>
                <w:color w:val="FFFFFF"/>
                <w:sz w:val="19"/>
                <w:szCs w:val="19"/>
              </w:rPr>
              <w:t xml:space="preserve">Tecnologia sugerida</w:t>
            </w:r>
          </w:p>
        </w:tc>
        <w:tc>
          <w:tcPr>
            <w:tcW w:type="dxa" w:w="3950"/>
            <w:shd w:fill="1F3864" w:color="auto" w:val="clear"/>
            <w:tcMar>
              <w:top w:type="dxa" w:w="100"/>
              <w:left w:type="dxa" w:w="100"/>
              <w:bottom w:type="dxa" w:w="100"/>
              <w:right w:type="dxa" w:w="100"/>
            </w:tcMar>
            <w:vAlign w:val="center"/>
          </w:tcPr>
          <w:p>
            <w:r>
              <w:rPr>
                <w:b/>
                <w:bCs/>
                <w:color w:val="FFFFFF"/>
                <w:sz w:val="19"/>
                <w:szCs w:val="19"/>
              </w:rPr>
              <w:t xml:space="preserve">Por quê</w:t>
            </w:r>
          </w:p>
        </w:tc>
      </w:tr>
      <w:tr>
        <w:tc>
          <w:tcPr>
            <w:tcW w:type="dxa" w:w="2100"/>
            <w:shd w:fill="FFFFFF" w:color="auto" w:val="clear"/>
            <w:tcMar>
              <w:top w:type="dxa" w:w="90"/>
              <w:left w:type="dxa" w:w="100"/>
              <w:bottom w:type="dxa" w:w="90"/>
              <w:right w:type="dxa" w:w="100"/>
            </w:tcMar>
            <w:vAlign w:val="center"/>
          </w:tcPr>
          <w:p>
            <w:r>
              <w:rPr>
                <w:sz w:val="18"/>
                <w:szCs w:val="18"/>
              </w:rPr>
              <w:t xml:space="preserve">Front-end (App/Painel)</w:t>
            </w:r>
          </w:p>
        </w:tc>
        <w:tc>
          <w:tcPr>
            <w:tcW w:type="dxa" w:w="3300"/>
            <w:shd w:fill="FFFFFF" w:color="auto" w:val="clear"/>
            <w:tcMar>
              <w:top w:type="dxa" w:w="90"/>
              <w:left w:type="dxa" w:w="100"/>
              <w:bottom w:type="dxa" w:w="90"/>
              <w:right w:type="dxa" w:w="100"/>
            </w:tcMar>
            <w:vAlign w:val="center"/>
          </w:tcPr>
          <w:p>
            <w:r>
              <w:rPr>
                <w:sz w:val="18"/>
                <w:szCs w:val="18"/>
              </w:rPr>
              <w:t xml:space="preserve">React + TypeScript, PWA para offline-first</w:t>
            </w:r>
          </w:p>
        </w:tc>
        <w:tc>
          <w:tcPr>
            <w:tcW w:type="dxa" w:w="3950"/>
            <w:shd w:fill="FFFFFF" w:color="auto" w:val="clear"/>
            <w:tcMar>
              <w:top w:type="dxa" w:w="90"/>
              <w:left w:type="dxa" w:w="100"/>
              <w:bottom w:type="dxa" w:w="90"/>
              <w:right w:type="dxa" w:w="100"/>
            </w:tcMar>
            <w:vAlign w:val="center"/>
          </w:tcPr>
          <w:p>
            <w:r>
              <w:rPr>
                <w:sz w:val="18"/>
                <w:szCs w:val="18"/>
              </w:rPr>
              <w:t xml:space="preserve">Ecossistema maduro, suporte a service workers para o modo offline do ADR-06</w:t>
            </w:r>
          </w:p>
        </w:tc>
      </w:tr>
      <w:tr>
        <w:tc>
          <w:tcPr>
            <w:tcW w:type="dxa" w:w="2100"/>
            <w:shd w:fill="F7F9FC" w:color="auto" w:val="clear"/>
            <w:tcMar>
              <w:top w:type="dxa" w:w="90"/>
              <w:left w:type="dxa" w:w="100"/>
              <w:bottom w:type="dxa" w:w="90"/>
              <w:right w:type="dxa" w:w="100"/>
            </w:tcMar>
            <w:vAlign w:val="center"/>
          </w:tcPr>
          <w:p>
            <w:r>
              <w:rPr>
                <w:sz w:val="18"/>
                <w:szCs w:val="18"/>
              </w:rPr>
              <w:t xml:space="preserve">Backend / API</w:t>
            </w:r>
          </w:p>
        </w:tc>
        <w:tc>
          <w:tcPr>
            <w:tcW w:type="dxa" w:w="3300"/>
            <w:shd w:fill="F7F9FC" w:color="auto" w:val="clear"/>
            <w:tcMar>
              <w:top w:type="dxa" w:w="90"/>
              <w:left w:type="dxa" w:w="100"/>
              <w:bottom w:type="dxa" w:w="90"/>
              <w:right w:type="dxa" w:w="100"/>
            </w:tcMar>
            <w:vAlign w:val="center"/>
          </w:tcPr>
          <w:p>
            <w:r>
              <w:rPr>
                <w:sz w:val="18"/>
                <w:szCs w:val="18"/>
              </w:rPr>
              <w:t xml:space="preserve">Node.js (NestJS) ou Python (FastAPI)</w:t>
            </w:r>
          </w:p>
        </w:tc>
        <w:tc>
          <w:tcPr>
            <w:tcW w:type="dxa" w:w="3950"/>
            <w:shd w:fill="F7F9FC" w:color="auto" w:val="clear"/>
            <w:tcMar>
              <w:top w:type="dxa" w:w="90"/>
              <w:left w:type="dxa" w:w="100"/>
              <w:bottom w:type="dxa" w:w="90"/>
              <w:right w:type="dxa" w:w="100"/>
            </w:tcMar>
            <w:vAlign w:val="center"/>
          </w:tcPr>
          <w:p>
            <w:r>
              <w:rPr>
                <w:sz w:val="18"/>
                <w:szCs w:val="18"/>
              </w:rPr>
              <w:t xml:space="preserve">Ambos têm bibliotecas prontas de autenticação e validação; escolher pela linguagem que o grupo já domina — reduz risco de entrega</w:t>
            </w:r>
          </w:p>
        </w:tc>
      </w:tr>
      <w:tr>
        <w:tc>
          <w:tcPr>
            <w:tcW w:type="dxa" w:w="2100"/>
            <w:shd w:fill="FFFFFF" w:color="auto" w:val="clear"/>
            <w:tcMar>
              <w:top w:type="dxa" w:w="90"/>
              <w:left w:type="dxa" w:w="100"/>
              <w:bottom w:type="dxa" w:w="90"/>
              <w:right w:type="dxa" w:w="100"/>
            </w:tcMar>
            <w:vAlign w:val="center"/>
          </w:tcPr>
          <w:p>
            <w:r>
              <w:rPr>
                <w:sz w:val="18"/>
                <w:szCs w:val="18"/>
              </w:rPr>
              <w:t xml:space="preserve">Cálculo de BKT</w:t>
            </w:r>
          </w:p>
        </w:tc>
        <w:tc>
          <w:tcPr>
            <w:tcW w:type="dxa" w:w="3300"/>
            <w:shd w:fill="FFFFFF" w:color="auto" w:val="clear"/>
            <w:tcMar>
              <w:top w:type="dxa" w:w="90"/>
              <w:left w:type="dxa" w:w="100"/>
              <w:bottom w:type="dxa" w:w="90"/>
              <w:right w:type="dxa" w:w="100"/>
            </w:tcMar>
            <w:vAlign w:val="center"/>
          </w:tcPr>
          <w:p>
            <w:r>
              <w:rPr>
                <w:sz w:val="18"/>
                <w:szCs w:val="18"/>
              </w:rPr>
              <w:t xml:space="preserve">Biblioteca própria (poucas linhas, fórmula fechada) ou pyBKT em Python</w:t>
            </w:r>
          </w:p>
        </w:tc>
        <w:tc>
          <w:tcPr>
            <w:tcW w:type="dxa" w:w="3950"/>
            <w:shd w:fill="FFFFFF" w:color="auto" w:val="clear"/>
            <w:tcMar>
              <w:top w:type="dxa" w:w="90"/>
              <w:left w:type="dxa" w:w="100"/>
              <w:bottom w:type="dxa" w:w="90"/>
              <w:right w:type="dxa" w:w="100"/>
            </w:tcMar>
            <w:vAlign w:val="center"/>
          </w:tcPr>
          <w:p>
            <w:r>
              <w:rPr>
                <w:sz w:val="18"/>
                <w:szCs w:val="18"/>
              </w:rPr>
              <w:t xml:space="preserve">Não depender de framework de ML pesado; a fórmula é simples o bastante para implementar e testar diretamente</w:t>
            </w:r>
          </w:p>
        </w:tc>
      </w:tr>
      <w:tr>
        <w:tc>
          <w:tcPr>
            <w:tcW w:type="dxa" w:w="2100"/>
            <w:shd w:fill="F7F9FC" w:color="auto" w:val="clear"/>
            <w:tcMar>
              <w:top w:type="dxa" w:w="90"/>
              <w:left w:type="dxa" w:w="100"/>
              <w:bottom w:type="dxa" w:w="90"/>
              <w:right w:type="dxa" w:w="100"/>
            </w:tcMar>
            <w:vAlign w:val="center"/>
          </w:tcPr>
          <w:p>
            <w:r>
              <w:rPr>
                <w:sz w:val="18"/>
                <w:szCs w:val="18"/>
              </w:rPr>
              <w:t xml:space="preserve">Banco de dados</w:t>
            </w:r>
          </w:p>
        </w:tc>
        <w:tc>
          <w:tcPr>
            <w:tcW w:type="dxa" w:w="3300"/>
            <w:shd w:fill="F7F9FC" w:color="auto" w:val="clear"/>
            <w:tcMar>
              <w:top w:type="dxa" w:w="90"/>
              <w:left w:type="dxa" w:w="100"/>
              <w:bottom w:type="dxa" w:w="90"/>
              <w:right w:type="dxa" w:w="100"/>
            </w:tcMar>
            <w:vAlign w:val="center"/>
          </w:tcPr>
          <w:p>
            <w:r>
              <w:rPr>
                <w:sz w:val="18"/>
                <w:szCs w:val="18"/>
              </w:rPr>
              <w:t xml:space="preserve">PostgreSQL</w:t>
            </w:r>
          </w:p>
        </w:tc>
        <w:tc>
          <w:tcPr>
            <w:tcW w:type="dxa" w:w="3950"/>
            <w:shd w:fill="F7F9FC" w:color="auto" w:val="clear"/>
            <w:tcMar>
              <w:top w:type="dxa" w:w="90"/>
              <w:left w:type="dxa" w:w="100"/>
              <w:bottom w:type="dxa" w:w="90"/>
              <w:right w:type="dxa" w:w="100"/>
            </w:tcMar>
            <w:vAlign w:val="center"/>
          </w:tcPr>
          <w:p>
            <w:r>
              <w:rPr>
                <w:sz w:val="18"/>
                <w:szCs w:val="18"/>
              </w:rPr>
              <w:t xml:space="preserve">Relacional, suporta bem o modelo ER da Seção 8, JSONB para campos como pre_requisitos[]</w:t>
            </w:r>
          </w:p>
        </w:tc>
      </w:tr>
      <w:tr>
        <w:tc>
          <w:tcPr>
            <w:tcW w:type="dxa" w:w="2100"/>
            <w:shd w:fill="FFFFFF" w:color="auto" w:val="clear"/>
            <w:tcMar>
              <w:top w:type="dxa" w:w="90"/>
              <w:left w:type="dxa" w:w="100"/>
              <w:bottom w:type="dxa" w:w="90"/>
              <w:right w:type="dxa" w:w="100"/>
            </w:tcMar>
            <w:vAlign w:val="center"/>
          </w:tcPr>
          <w:p>
            <w:r>
              <w:rPr>
                <w:sz w:val="18"/>
                <w:szCs w:val="18"/>
              </w:rPr>
              <w:t xml:space="preserve">Fila de eventos (opcional)</w:t>
            </w:r>
          </w:p>
        </w:tc>
        <w:tc>
          <w:tcPr>
            <w:tcW w:type="dxa" w:w="3300"/>
            <w:shd w:fill="FFFFFF" w:color="auto" w:val="clear"/>
            <w:tcMar>
              <w:top w:type="dxa" w:w="90"/>
              <w:left w:type="dxa" w:w="100"/>
              <w:bottom w:type="dxa" w:w="90"/>
              <w:right w:type="dxa" w:w="100"/>
            </w:tcMar>
            <w:vAlign w:val="center"/>
          </w:tcPr>
          <w:p>
            <w:r>
              <w:rPr>
                <w:sz w:val="18"/>
                <w:szCs w:val="18"/>
              </w:rPr>
              <w:t xml:space="preserve">Nenhuma no MVP; considerar Redis/SQS se o volume crescer</w:t>
            </w:r>
          </w:p>
        </w:tc>
        <w:tc>
          <w:tcPr>
            <w:tcW w:type="dxa" w:w="3950"/>
            <w:shd w:fill="FFFFFF" w:color="auto" w:val="clear"/>
            <w:tcMar>
              <w:top w:type="dxa" w:w="90"/>
              <w:left w:type="dxa" w:w="100"/>
              <w:bottom w:type="dxa" w:w="90"/>
              <w:right w:type="dxa" w:w="100"/>
            </w:tcMar>
            <w:vAlign w:val="center"/>
          </w:tcPr>
          <w:p>
            <w:r>
              <w:rPr>
                <w:sz w:val="18"/>
                <w:szCs w:val="18"/>
              </w:rPr>
              <w:t xml:space="preserve">Evita overengineering — ADR-04</w:t>
            </w:r>
          </w:p>
        </w:tc>
      </w:tr>
      <w:tr>
        <w:tc>
          <w:tcPr>
            <w:tcW w:type="dxa" w:w="2100"/>
            <w:shd w:fill="F7F9FC" w:color="auto" w:val="clear"/>
            <w:tcMar>
              <w:top w:type="dxa" w:w="90"/>
              <w:left w:type="dxa" w:w="100"/>
              <w:bottom w:type="dxa" w:w="90"/>
              <w:right w:type="dxa" w:w="100"/>
            </w:tcMar>
            <w:vAlign w:val="center"/>
          </w:tcPr>
          <w:p>
            <w:r>
              <w:rPr>
                <w:sz w:val="18"/>
                <w:szCs w:val="18"/>
              </w:rPr>
              <w:t xml:space="preserve">Hospedagem do piloto</w:t>
            </w:r>
          </w:p>
        </w:tc>
        <w:tc>
          <w:tcPr>
            <w:tcW w:type="dxa" w:w="3300"/>
            <w:shd w:fill="F7F9FC" w:color="auto" w:val="clear"/>
            <w:tcMar>
              <w:top w:type="dxa" w:w="90"/>
              <w:left w:type="dxa" w:w="100"/>
              <w:bottom w:type="dxa" w:w="90"/>
              <w:right w:type="dxa" w:w="100"/>
            </w:tcMar>
            <w:vAlign w:val="center"/>
          </w:tcPr>
          <w:p>
            <w:r>
              <w:rPr>
                <w:sz w:val="18"/>
                <w:szCs w:val="18"/>
              </w:rPr>
              <w:t xml:space="preserve">Um único servidor gerenciado (ex.: Railway, Render, ou VM universitária)</w:t>
            </w:r>
          </w:p>
        </w:tc>
        <w:tc>
          <w:tcPr>
            <w:tcW w:type="dxa" w:w="3950"/>
            <w:shd w:fill="F7F9FC" w:color="auto" w:val="clear"/>
            <w:tcMar>
              <w:top w:type="dxa" w:w="90"/>
              <w:left w:type="dxa" w:w="100"/>
              <w:bottom w:type="dxa" w:w="90"/>
              <w:right w:type="dxa" w:w="100"/>
            </w:tcMar>
            <w:vAlign w:val="center"/>
          </w:tcPr>
          <w:p>
            <w:r>
              <w:rPr>
                <w:sz w:val="18"/>
                <w:szCs w:val="18"/>
              </w:rPr>
              <w:t xml:space="preserve">Custo baixo, suficiente para o volume de um piloto com poucas escolas</w:t>
            </w:r>
          </w:p>
        </w:tc>
      </w:tr>
    </w:tbl>
    <w:p>
      <w:pPr>
        <w:spacing w:after="160"/>
      </w:pPr>
    </w:p>
    <w:p>
      <w:pPr>
        <w:pStyle w:val="Heading1"/>
        <w:pBdr>
          <w:bottom w:val="single" w:color="2E74B5" w:sz="6" w:space="4"/>
        </w:pBdr>
        <w:spacing w:after="200" w:before="420"/>
      </w:pPr>
      <w:r>
        <w:rPr>
          <w:b/>
          <w:bCs/>
          <w:color w:val="1F3864"/>
          <w:sz w:val="30"/>
          <w:szCs w:val="30"/>
        </w:rPr>
        <w:t xml:space="preserve">11. Estrutura de Pastas do Repositório</w:t>
      </w:r>
    </w:p>
    <w:p>
      <w:pPr>
        <w:spacing w:after="160" w:line="300"/>
      </w:pPr>
      <w:r>
        <w:rPr>
          <w:sz w:val="22"/>
          <w:szCs w:val="22"/>
        </w:rPr>
        <w:t xml:space="preserve">Organização em monorepo, alinhada às fronteiras lógicas do diagrama de containers — facilita dividir o trabalho entre os integrantes do grupo sem gerar conflitos constantes de merge.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2"/>
              <w:left w:val="single" w:color="CCCCCC" w:sz="2"/>
              <w:bottom w:val="single" w:color="CCCCCC" w:sz="2"/>
              <w:right w:val="single" w:color="CCCCCC" w:sz="2"/>
            </w:tcBorders>
            <w:shd w:fill="F4F4F4" w:color="auto" w:val="clear"/>
            <w:tcMar>
              <w:top w:type="dxa" w:w="160"/>
              <w:left w:type="dxa" w:w="220"/>
              <w:bottom w:type="dxa" w:w="160"/>
              <w:right w:type="dxa" w:w="220"/>
            </w:tcMar>
          </w:tcPr>
          <w:p>
            <w:pPr>
              <w:spacing w:after="0" w:line="260"/>
            </w:pPr>
            <w:r>
              <w:rPr>
                <w:rFonts w:ascii="Consolas" w:cs="Consolas" w:eastAsia="Consolas" w:hAnsi="Consolas"/>
                <w:color w:val="1A1A1A"/>
                <w:sz w:val="19"/>
                <w:szCs w:val="19"/>
              </w:rPr>
              <w:t xml:space="preserve">plataforma-aprendizagem/</w:t>
            </w:r>
          </w:p>
          <w:p>
            <w:pPr>
              <w:spacing w:after="0" w:line="260"/>
            </w:pPr>
            <w:r>
              <w:rPr>
                <w:rFonts w:ascii="Consolas" w:cs="Consolas" w:eastAsia="Consolas" w:hAnsi="Consolas"/>
                <w:color w:val="1A1A1A"/>
                <w:sz w:val="19"/>
                <w:szCs w:val="19"/>
              </w:rPr>
              <w:t xml:space="preserve">├── apps/</w:t>
            </w:r>
          </w:p>
          <w:p>
            <w:pPr>
              <w:spacing w:after="0" w:line="260"/>
            </w:pPr>
            <w:r>
              <w:rPr>
                <w:rFonts w:ascii="Consolas" w:cs="Consolas" w:eastAsia="Consolas" w:hAnsi="Consolas"/>
                <w:color w:val="1A1A1A"/>
                <w:sz w:val="19"/>
                <w:szCs w:val="19"/>
              </w:rPr>
              <w:t xml:space="preserve">│   ├── app-crianca/          # front-end da criança (React PWA, offline-first)</w:t>
            </w:r>
          </w:p>
          <w:p>
            <w:pPr>
              <w:spacing w:after="0" w:line="260"/>
            </w:pPr>
            <w:r>
              <w:rPr>
                <w:rFonts w:ascii="Consolas" w:cs="Consolas" w:eastAsia="Consolas" w:hAnsi="Consolas"/>
                <w:color w:val="1A1A1A"/>
                <w:sz w:val="19"/>
                <w:szCs w:val="19"/>
              </w:rPr>
              <w:t xml:space="preserve">│   └── painel-professor/     # front-end do professor/família</w:t>
            </w:r>
          </w:p>
          <w:p>
            <w:pPr>
              <w:spacing w:after="0" w:line="260"/>
            </w:pPr>
            <w:r>
              <w:rPr>
                <w:rFonts w:ascii="Consolas" w:cs="Consolas" w:eastAsia="Consolas" w:hAnsi="Consolas"/>
                <w:color w:val="1A1A1A"/>
                <w:sz w:val="19"/>
                <w:szCs w:val="19"/>
              </w:rPr>
              <w:t xml:space="preserve">├── services/</w:t>
            </w:r>
          </w:p>
          <w:p>
            <w:pPr>
              <w:spacing w:after="0" w:line="260"/>
            </w:pPr>
            <w:r>
              <w:rPr>
                <w:rFonts w:ascii="Consolas" w:cs="Consolas" w:eastAsia="Consolas" w:hAnsi="Consolas"/>
                <w:color w:val="1A1A1A"/>
                <w:sz w:val="19"/>
                <w:szCs w:val="19"/>
              </w:rPr>
              <w:t xml:space="preserve">│   ├── api/                  # API REST — autenticação, orquestração</w:t>
            </w:r>
          </w:p>
          <w:p>
            <w:pPr>
              <w:spacing w:after="0" w:line="260"/>
            </w:pPr>
            <w:r>
              <w:rPr>
                <w:rFonts w:ascii="Consolas" w:cs="Consolas" w:eastAsia="Consolas" w:hAnsi="Consolas"/>
                <w:color w:val="1A1A1A"/>
                <w:sz w:val="19"/>
                <w:szCs w:val="19"/>
              </w:rPr>
              <w:t xml:space="preserve">│   ├── modelo-aluno/         # Bayesian Knowledge Tracing (P(L))</w:t>
            </w:r>
          </w:p>
          <w:p>
            <w:pPr>
              <w:spacing w:after="0" w:line="260"/>
            </w:pPr>
            <w:r>
              <w:rPr>
                <w:rFonts w:ascii="Consolas" w:cs="Consolas" w:eastAsia="Consolas" w:hAnsi="Consolas"/>
                <w:color w:val="1A1A1A"/>
                <w:sz w:val="19"/>
                <w:szCs w:val="19"/>
              </w:rPr>
              <w:t xml:space="preserve">│   ├── motor-recomendacao/   # regras pedagógicas (scaffolding...)</w:t>
            </w:r>
          </w:p>
          <w:p>
            <w:pPr>
              <w:spacing w:after="0" w:line="260"/>
            </w:pPr>
            <w:r>
              <w:rPr>
                <w:rFonts w:ascii="Consolas" w:cs="Consolas" w:eastAsia="Consolas" w:hAnsi="Consolas"/>
                <w:color w:val="1A1A1A"/>
                <w:sz w:val="19"/>
                <w:szCs w:val="19"/>
              </w:rPr>
              <w:t xml:space="preserve">│   └── conteudo/             # banco de itens + grafo de habilidades</w:t>
            </w:r>
          </w:p>
          <w:p>
            <w:pPr>
              <w:spacing w:after="0" w:line="260"/>
            </w:pPr>
            <w:r>
              <w:rPr>
                <w:rFonts w:ascii="Consolas" w:cs="Consolas" w:eastAsia="Consolas" w:hAnsi="Consolas"/>
                <w:color w:val="1A1A1A"/>
                <w:sz w:val="19"/>
                <w:szCs w:val="19"/>
              </w:rPr>
              <w:t xml:space="preserve">├── packages/</w:t>
            </w:r>
          </w:p>
          <w:p>
            <w:pPr>
              <w:spacing w:after="0" w:line="260"/>
            </w:pPr>
            <w:r>
              <w:rPr>
                <w:rFonts w:ascii="Consolas" w:cs="Consolas" w:eastAsia="Consolas" w:hAnsi="Consolas"/>
                <w:color w:val="1A1A1A"/>
                <w:sz w:val="19"/>
                <w:szCs w:val="19"/>
              </w:rPr>
              <w:t xml:space="preserve">│   └── shared-types/         # contratos de dados compartilhados (TS types / schemas)</w:t>
            </w:r>
          </w:p>
          <w:p>
            <w:pPr>
              <w:spacing w:after="0" w:line="260"/>
            </w:pPr>
            <w:r>
              <w:rPr>
                <w:rFonts w:ascii="Consolas" w:cs="Consolas" w:eastAsia="Consolas" w:hAnsi="Consolas"/>
                <w:color w:val="1A1A1A"/>
                <w:sz w:val="19"/>
                <w:szCs w:val="19"/>
              </w:rPr>
              <w:t xml:space="preserve">├── data/</w:t>
            </w:r>
          </w:p>
          <w:p>
            <w:pPr>
              <w:spacing w:after="0" w:line="260"/>
            </w:pPr>
            <w:r>
              <w:rPr>
                <w:rFonts w:ascii="Consolas" w:cs="Consolas" w:eastAsia="Consolas" w:hAnsi="Consolas"/>
                <w:color w:val="1A1A1A"/>
                <w:sz w:val="19"/>
                <w:szCs w:val="19"/>
              </w:rPr>
              <w:t xml:space="preserve">│   └── seeds/                # grafo de habilidades inicial + itens de exemplo</w:t>
            </w:r>
          </w:p>
          <w:p>
            <w:pPr>
              <w:spacing w:after="0" w:line="260"/>
            </w:pPr>
            <w:r>
              <w:rPr>
                <w:rFonts w:ascii="Consolas" w:cs="Consolas" w:eastAsia="Consolas" w:hAnsi="Consolas"/>
                <w:color w:val="1A1A1A"/>
                <w:sz w:val="19"/>
                <w:szCs w:val="19"/>
              </w:rPr>
              <w:t xml:space="preserve">├── docs/</w:t>
            </w:r>
          </w:p>
          <w:p>
            <w:pPr>
              <w:spacing w:after="0" w:line="260"/>
            </w:pPr>
            <w:r>
              <w:rPr>
                <w:rFonts w:ascii="Consolas" w:cs="Consolas" w:eastAsia="Consolas" w:hAnsi="Consolas"/>
                <w:color w:val="1A1A1A"/>
                <w:sz w:val="19"/>
                <w:szCs w:val="19"/>
              </w:rPr>
              <w:t xml:space="preserve">│   ├── adr/                  # este documento, um arquivo por decisão</w:t>
            </w:r>
          </w:p>
          <w:p>
            <w:pPr>
              <w:spacing w:after="0" w:line="260"/>
            </w:pPr>
            <w:r>
              <w:rPr>
                <w:rFonts w:ascii="Consolas" w:cs="Consolas" w:eastAsia="Consolas" w:hAnsi="Consolas"/>
                <w:color w:val="1A1A1A"/>
                <w:sz w:val="19"/>
                <w:szCs w:val="19"/>
              </w:rPr>
              <w:t xml:space="preserve">│   └── diagramas/            # fontes dos diagramas (scripts/figuras)</w:t>
            </w:r>
          </w:p>
          <w:p>
            <w:pPr>
              <w:spacing w:after="0" w:line="260"/>
            </w:pPr>
            <w:r>
              <w:rPr>
                <w:rFonts w:ascii="Consolas" w:cs="Consolas" w:eastAsia="Consolas" w:hAnsi="Consolas"/>
                <w:color w:val="1A1A1A"/>
                <w:sz w:val="19"/>
                <w:szCs w:val="19"/>
              </w:rPr>
              <w:t xml:space="preserve">└── infra/</w:t>
            </w:r>
          </w:p>
          <w:p>
            <w:pPr>
              <w:spacing w:after="0" w:line="260"/>
            </w:pPr>
            <w:r>
              <w:rPr>
                <w:rFonts w:ascii="Consolas" w:cs="Consolas" w:eastAsia="Consolas" w:hAnsi="Consolas"/>
                <w:color w:val="1A1A1A"/>
                <w:sz w:val="19"/>
                <w:szCs w:val="19"/>
              </w:rPr>
              <w:t xml:space="preserve">    └── docker-compose.yml    # ambiente local (API + banco)</w:t>
            </w:r>
          </w:p>
        </w:tc>
      </w:tr>
    </w:tbl>
    <w:p>
      <w:pPr>
        <w:spacing w:after="160"/>
      </w:pPr>
    </w:p>
    <w:p>
      <w:pPr>
        <w:pStyle w:val="Heading1"/>
        <w:pBdr>
          <w:bottom w:val="single" w:color="2E74B5" w:sz="6" w:space="4"/>
        </w:pBdr>
        <w:spacing w:after="200" w:before="420"/>
      </w:pPr>
      <w:r>
        <w:rPr>
          <w:b/>
          <w:bCs/>
          <w:color w:val="1F3864"/>
          <w:sz w:val="30"/>
          <w:szCs w:val="30"/>
        </w:rPr>
        <w:t xml:space="preserve">12. Privacidade e Conformidade por Design</w:t>
      </w:r>
    </w:p>
    <w:p>
      <w:pPr>
        <w:spacing w:after="160" w:line="300"/>
      </w:pPr>
      <w:r>
        <w:rPr>
          <w:sz w:val="22"/>
          <w:szCs w:val="22"/>
        </w:rPr>
        <w:t xml:space="preserve">Mapeamento direto entre exigência legal (levantada no resumo de pesquisa) e decisão técnica correspondente: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1F3864" w:color="auto" w:val="clear"/>
            <w:tcMar>
              <w:top w:type="dxa" w:w="100"/>
              <w:left w:type="dxa" w:w="100"/>
              <w:bottom w:type="dxa" w:w="100"/>
              <w:right w:type="dxa" w:w="100"/>
            </w:tcMar>
            <w:vAlign w:val="center"/>
          </w:tcPr>
          <w:p>
            <w:r>
              <w:rPr>
                <w:b/>
                <w:bCs/>
                <w:color w:val="FFFFFF"/>
                <w:sz w:val="19"/>
                <w:szCs w:val="19"/>
              </w:rPr>
              <w:t xml:space="preserve">Exigência (LGPD art. 14 / ECA Digital)</w:t>
            </w:r>
          </w:p>
        </w:tc>
        <w:tc>
          <w:tcPr>
            <w:tcW w:type="dxa" w:w="4700"/>
            <w:shd w:fill="1F3864" w:color="auto" w:val="clear"/>
            <w:tcMar>
              <w:top w:type="dxa" w:w="100"/>
              <w:left w:type="dxa" w:w="100"/>
              <w:bottom w:type="dxa" w:w="100"/>
              <w:right w:type="dxa" w:w="100"/>
            </w:tcMar>
            <w:vAlign w:val="center"/>
          </w:tcPr>
          <w:p>
            <w:r>
              <w:rPr>
                <w:b/>
                <w:bCs/>
                <w:color w:val="FFFFFF"/>
                <w:sz w:val="19"/>
                <w:szCs w:val="19"/>
              </w:rPr>
              <w:t xml:space="preserve">Como o sistema atende</w:t>
            </w:r>
          </w:p>
        </w:tc>
      </w:tr>
      <w:tr>
        <w:tc>
          <w:tcPr>
            <w:tcW w:type="dxa" w:w="4650"/>
            <w:shd w:fill="FFFFFF" w:color="auto" w:val="clear"/>
            <w:tcMar>
              <w:top w:type="dxa" w:w="90"/>
              <w:left w:type="dxa" w:w="100"/>
              <w:bottom w:type="dxa" w:w="90"/>
              <w:right w:type="dxa" w:w="100"/>
            </w:tcMar>
            <w:vAlign w:val="center"/>
          </w:tcPr>
          <w:p>
            <w:r>
              <w:rPr>
                <w:sz w:val="18"/>
                <w:szCs w:val="18"/>
              </w:rPr>
              <w:t xml:space="preserve">Consentimento específico e destacado dos pais</w:t>
            </w:r>
          </w:p>
        </w:tc>
        <w:tc>
          <w:tcPr>
            <w:tcW w:type="dxa" w:w="4700"/>
            <w:shd w:fill="FFFFFF" w:color="auto" w:val="clear"/>
            <w:tcMar>
              <w:top w:type="dxa" w:w="90"/>
              <w:left w:type="dxa" w:w="100"/>
              <w:bottom w:type="dxa" w:w="90"/>
              <w:right w:type="dxa" w:w="100"/>
            </w:tcMar>
            <w:vAlign w:val="center"/>
          </w:tcPr>
          <w:p>
            <w:r>
              <w:rPr>
                <w:sz w:val="18"/>
                <w:szCs w:val="18"/>
              </w:rPr>
              <w:t xml:space="preserve">Entidade Consentimento dedicada, com escopo e data — endpoint POST /consentimentos bloqueia qualquer coleta anterior a ele</w:t>
            </w:r>
          </w:p>
        </w:tc>
      </w:tr>
      <w:tr>
        <w:tc>
          <w:tcPr>
            <w:tcW w:type="dxa" w:w="4650"/>
            <w:shd w:fill="F7F9FC" w:color="auto" w:val="clear"/>
            <w:tcMar>
              <w:top w:type="dxa" w:w="90"/>
              <w:left w:type="dxa" w:w="100"/>
              <w:bottom w:type="dxa" w:w="90"/>
              <w:right w:type="dxa" w:w="100"/>
            </w:tcMar>
            <w:vAlign w:val="center"/>
          </w:tcPr>
          <w:p>
            <w:r>
              <w:rPr>
                <w:sz w:val="18"/>
                <w:szCs w:val="18"/>
              </w:rPr>
              <w:t xml:space="preserve">Melhor interesse da criança</w:t>
            </w:r>
          </w:p>
        </w:tc>
        <w:tc>
          <w:tcPr>
            <w:tcW w:type="dxa" w:w="4700"/>
            <w:shd w:fill="F7F9FC" w:color="auto" w:val="clear"/>
            <w:tcMar>
              <w:top w:type="dxa" w:w="90"/>
              <w:left w:type="dxa" w:w="100"/>
              <w:bottom w:type="dxa" w:w="90"/>
              <w:right w:type="dxa" w:w="100"/>
            </w:tcMar>
            <w:vAlign w:val="center"/>
          </w:tcPr>
          <w:p>
            <w:r>
              <w:rPr>
                <w:sz w:val="18"/>
                <w:szCs w:val="18"/>
              </w:rPr>
              <w:t xml:space="preserve">Motor de recomendação (Seção 7.2) otimiza para domínio de habilidade, nunca para engajamento/tempo de tela</w:t>
            </w:r>
          </w:p>
        </w:tc>
      </w:tr>
      <w:tr>
        <w:tc>
          <w:tcPr>
            <w:tcW w:type="dxa" w:w="4650"/>
            <w:shd w:fill="FFFFFF" w:color="auto" w:val="clear"/>
            <w:tcMar>
              <w:top w:type="dxa" w:w="90"/>
              <w:left w:type="dxa" w:w="100"/>
              <w:bottom w:type="dxa" w:w="90"/>
              <w:right w:type="dxa" w:w="100"/>
            </w:tcMar>
            <w:vAlign w:val="center"/>
          </w:tcPr>
          <w:p>
            <w:r>
              <w:rPr>
                <w:sz w:val="18"/>
                <w:szCs w:val="18"/>
              </w:rPr>
              <w:t xml:space="preserve">Minimização de dados</w:t>
            </w:r>
          </w:p>
        </w:tc>
        <w:tc>
          <w:tcPr>
            <w:tcW w:type="dxa" w:w="4700"/>
            <w:shd w:fill="FFFFFF" w:color="auto" w:val="clear"/>
            <w:tcMar>
              <w:top w:type="dxa" w:w="90"/>
              <w:left w:type="dxa" w:w="100"/>
              <w:bottom w:type="dxa" w:w="90"/>
              <w:right w:type="dxa" w:w="100"/>
            </w:tcMar>
            <w:vAlign w:val="center"/>
          </w:tcPr>
          <w:p>
            <w:r>
              <w:rPr>
                <w:sz w:val="18"/>
                <w:szCs w:val="18"/>
              </w:rPr>
              <w:t xml:space="preserve">Aluno usa pseudônimo; Evento só guarda o necessário para o BKT (correto, tempo, hints)</w:t>
            </w:r>
          </w:p>
        </w:tc>
      </w:tr>
      <w:tr>
        <w:tc>
          <w:tcPr>
            <w:tcW w:type="dxa" w:w="4650"/>
            <w:shd w:fill="F7F9FC" w:color="auto" w:val="clear"/>
            <w:tcMar>
              <w:top w:type="dxa" w:w="90"/>
              <w:left w:type="dxa" w:w="100"/>
              <w:bottom w:type="dxa" w:w="90"/>
              <w:right w:type="dxa" w:w="100"/>
            </w:tcMar>
            <w:vAlign w:val="center"/>
          </w:tcPr>
          <w:p>
            <w:r>
              <w:rPr>
                <w:sz w:val="18"/>
                <w:szCs w:val="18"/>
              </w:rPr>
              <w:t xml:space="preserve">Perfilamento contextual, não comportamental</w:t>
            </w:r>
          </w:p>
        </w:tc>
        <w:tc>
          <w:tcPr>
            <w:tcW w:type="dxa" w:w="4700"/>
            <w:shd w:fill="F7F9FC" w:color="auto" w:val="clear"/>
            <w:tcMar>
              <w:top w:type="dxa" w:w="90"/>
              <w:left w:type="dxa" w:w="100"/>
              <w:bottom w:type="dxa" w:w="90"/>
              <w:right w:type="dxa" w:w="100"/>
            </w:tcMar>
            <w:vAlign w:val="center"/>
          </w:tcPr>
          <w:p>
            <w:r>
              <w:rPr>
                <w:sz w:val="18"/>
                <w:szCs w:val="18"/>
              </w:rPr>
              <w:t xml:space="preserve">Campo finalidade: pedagogica em todo evento (ADR-05); nenhum dado usado fora do contexto de aprendizagem</w:t>
            </w:r>
          </w:p>
        </w:tc>
      </w:tr>
      <w:tr>
        <w:tc>
          <w:tcPr>
            <w:tcW w:type="dxa" w:w="4650"/>
            <w:shd w:fill="FFFFFF" w:color="auto" w:val="clear"/>
            <w:tcMar>
              <w:top w:type="dxa" w:w="90"/>
              <w:left w:type="dxa" w:w="100"/>
              <w:bottom w:type="dxa" w:w="90"/>
              <w:right w:type="dxa" w:w="100"/>
            </w:tcMar>
            <w:vAlign w:val="center"/>
          </w:tcPr>
          <w:p>
            <w:r>
              <w:rPr>
                <w:sz w:val="18"/>
                <w:szCs w:val="18"/>
              </w:rPr>
              <w:t xml:space="preserve">Auditabilidade (AIPD)</w:t>
            </w:r>
          </w:p>
        </w:tc>
        <w:tc>
          <w:tcPr>
            <w:tcW w:type="dxa" w:w="4700"/>
            <w:shd w:fill="FFFFFF" w:color="auto" w:val="clear"/>
            <w:tcMar>
              <w:top w:type="dxa" w:w="90"/>
              <w:left w:type="dxa" w:w="100"/>
              <w:bottom w:type="dxa" w:w="90"/>
              <w:right w:type="dxa" w:w="100"/>
            </w:tcMar>
            <w:vAlign w:val="center"/>
          </w:tcPr>
          <w:p>
            <w:r>
              <w:rPr>
                <w:sz w:val="18"/>
                <w:szCs w:val="18"/>
              </w:rPr>
              <w:t xml:space="preserve">P(L) e seus parâmetros ficam armazenados e são explicáveis — não é uma rede neural opaca (ADR-02)</w:t>
            </w:r>
          </w:p>
        </w:tc>
      </w:tr>
    </w:tbl>
    <w:p>
      <w:pPr>
        <w:spacing w:after="160"/>
      </w:pPr>
    </w:p>
    <w:p>
      <w:pPr>
        <w:pStyle w:val="Heading1"/>
        <w:pBdr>
          <w:bottom w:val="single" w:color="2E74B5" w:sz="6" w:space="4"/>
        </w:pBdr>
        <w:spacing w:after="200" w:before="420"/>
      </w:pPr>
      <w:r>
        <w:rPr>
          <w:b/>
          <w:bCs/>
          <w:color w:val="1F3864"/>
          <w:sz w:val="30"/>
          <w:szCs w:val="30"/>
        </w:rPr>
        <w:t xml:space="preserve">13. Roadmap de Implementação (MVP em Fases)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250"/>
      </w:tblGrid>
      <w:tr>
        <w:trPr>
          <w:tblHeader/>
        </w:trPr>
        <w:tc>
          <w:tcPr>
            <w:tcW w:type="dxa" w:w="1500"/>
            <w:shd w:fill="1F3864" w:color="auto" w:val="clear"/>
            <w:tcMar>
              <w:top w:type="dxa" w:w="100"/>
              <w:left w:type="dxa" w:w="100"/>
              <w:bottom w:type="dxa" w:w="100"/>
              <w:right w:type="dxa" w:w="100"/>
            </w:tcMar>
            <w:vAlign w:val="center"/>
          </w:tcPr>
          <w:p>
            <w:r>
              <w:rPr>
                <w:b/>
                <w:bCs/>
                <w:color w:val="FFFFFF"/>
                <w:sz w:val="19"/>
                <w:szCs w:val="19"/>
              </w:rPr>
              <w:t xml:space="preserve">Fase</w:t>
            </w:r>
          </w:p>
        </w:tc>
        <w:tc>
          <w:tcPr>
            <w:tcW w:type="dxa" w:w="4600"/>
            <w:shd w:fill="1F3864" w:color="auto" w:val="clear"/>
            <w:tcMar>
              <w:top w:type="dxa" w:w="100"/>
              <w:left w:type="dxa" w:w="100"/>
              <w:bottom w:type="dxa" w:w="100"/>
              <w:right w:type="dxa" w:w="100"/>
            </w:tcMar>
            <w:vAlign w:val="center"/>
          </w:tcPr>
          <w:p>
            <w:r>
              <w:rPr>
                <w:b/>
                <w:bCs/>
                <w:color w:val="FFFFFF"/>
                <w:sz w:val="19"/>
                <w:szCs w:val="19"/>
              </w:rPr>
              <w:t xml:space="preserve">Escopo</w:t>
            </w:r>
          </w:p>
        </w:tc>
        <w:tc>
          <w:tcPr>
            <w:tcW w:type="dxa" w:w="3250"/>
            <w:shd w:fill="1F3864" w:color="auto" w:val="clear"/>
            <w:tcMar>
              <w:top w:type="dxa" w:w="100"/>
              <w:left w:type="dxa" w:w="100"/>
              <w:bottom w:type="dxa" w:w="100"/>
              <w:right w:type="dxa" w:w="100"/>
            </w:tcMar>
            <w:vAlign w:val="center"/>
          </w:tcPr>
          <w:p>
            <w:r>
              <w:rPr>
                <w:b/>
                <w:bCs/>
                <w:color w:val="FFFFFF"/>
                <w:sz w:val="19"/>
                <w:szCs w:val="19"/>
              </w:rPr>
              <w:t xml:space="preserve">Entregável</w:t>
            </w:r>
          </w:p>
        </w:tc>
      </w:tr>
      <w:tr>
        <w:tc>
          <w:tcPr>
            <w:tcW w:type="dxa" w:w="1500"/>
            <w:shd w:fill="FFFFFF" w:color="auto" w:val="clear"/>
            <w:tcMar>
              <w:top w:type="dxa" w:w="90"/>
              <w:left w:type="dxa" w:w="100"/>
              <w:bottom w:type="dxa" w:w="90"/>
              <w:right w:type="dxa" w:w="100"/>
            </w:tcMar>
            <w:vAlign w:val="center"/>
          </w:tcPr>
          <w:p>
            <w:r>
              <w:rPr>
                <w:sz w:val="18"/>
                <w:szCs w:val="18"/>
              </w:rPr>
              <w:t xml:space="preserve">1 — Fundação</w:t>
            </w:r>
          </w:p>
        </w:tc>
        <w:tc>
          <w:tcPr>
            <w:tcW w:type="dxa" w:w="4600"/>
            <w:shd w:fill="FFFFFF" w:color="auto" w:val="clear"/>
            <w:tcMar>
              <w:top w:type="dxa" w:w="90"/>
              <w:left w:type="dxa" w:w="100"/>
              <w:bottom w:type="dxa" w:w="90"/>
              <w:right w:type="dxa" w:w="100"/>
            </w:tcMar>
            <w:vAlign w:val="center"/>
          </w:tcPr>
          <w:p>
            <w:r>
              <w:rPr>
                <w:sz w:val="18"/>
                <w:szCs w:val="18"/>
              </w:rPr>
              <w:t xml:space="preserve">Grafo de habilidades (1 trilha), banco de itens inicial, modelo de dados (Seção 8)</w:t>
            </w:r>
          </w:p>
        </w:tc>
        <w:tc>
          <w:tcPr>
            <w:tcW w:type="dxa" w:w="3250"/>
            <w:shd w:fill="FFFFFF" w:color="auto" w:val="clear"/>
            <w:tcMar>
              <w:top w:type="dxa" w:w="90"/>
              <w:left w:type="dxa" w:w="100"/>
              <w:bottom w:type="dxa" w:w="90"/>
              <w:right w:type="dxa" w:w="100"/>
            </w:tcMar>
            <w:vAlign w:val="center"/>
          </w:tcPr>
          <w:p>
            <w:r>
              <w:rPr>
                <w:sz w:val="18"/>
                <w:szCs w:val="18"/>
              </w:rPr>
              <w:t xml:space="preserve">Conteúdo pedagógico pronto para ser consumido pelo motor</w:t>
            </w:r>
          </w:p>
        </w:tc>
      </w:tr>
      <w:tr>
        <w:tc>
          <w:tcPr>
            <w:tcW w:type="dxa" w:w="1500"/>
            <w:shd w:fill="F7F9FC" w:color="auto" w:val="clear"/>
            <w:tcMar>
              <w:top w:type="dxa" w:w="90"/>
              <w:left w:type="dxa" w:w="100"/>
              <w:bottom w:type="dxa" w:w="90"/>
              <w:right w:type="dxa" w:w="100"/>
            </w:tcMar>
            <w:vAlign w:val="center"/>
          </w:tcPr>
          <w:p>
            <w:r>
              <w:rPr>
                <w:sz w:val="18"/>
                <w:szCs w:val="18"/>
              </w:rPr>
              <w:t xml:space="preserve">2 — Núcleo estatístico</w:t>
            </w:r>
          </w:p>
        </w:tc>
        <w:tc>
          <w:tcPr>
            <w:tcW w:type="dxa" w:w="4600"/>
            <w:shd w:fill="F7F9FC" w:color="auto" w:val="clear"/>
            <w:tcMar>
              <w:top w:type="dxa" w:w="90"/>
              <w:left w:type="dxa" w:w="100"/>
              <w:bottom w:type="dxa" w:w="90"/>
              <w:right w:type="dxa" w:w="100"/>
            </w:tcMar>
            <w:vAlign w:val="center"/>
          </w:tcPr>
          <w:p>
            <w:r>
              <w:rPr>
                <w:sz w:val="18"/>
                <w:szCs w:val="18"/>
              </w:rPr>
              <w:t xml:space="preserve">Implementar e testar BKT isoladamente com alunos sintéticos (Seção 7.1)</w:t>
            </w:r>
          </w:p>
        </w:tc>
        <w:tc>
          <w:tcPr>
            <w:tcW w:type="dxa" w:w="3250"/>
            <w:shd w:fill="F7F9FC" w:color="auto" w:val="clear"/>
            <w:tcMar>
              <w:top w:type="dxa" w:w="90"/>
              <w:left w:type="dxa" w:w="100"/>
              <w:bottom w:type="dxa" w:w="90"/>
              <w:right w:type="dxa" w:w="100"/>
            </w:tcMar>
            <w:vAlign w:val="center"/>
          </w:tcPr>
          <w:p>
            <w:r>
              <w:rPr>
                <w:sz w:val="18"/>
                <w:szCs w:val="18"/>
              </w:rPr>
              <w:t xml:space="preserve">Serviço de Modelo do Aluno validado por testes automatizados</w:t>
            </w:r>
          </w:p>
        </w:tc>
      </w:tr>
      <w:tr>
        <w:tc>
          <w:tcPr>
            <w:tcW w:type="dxa" w:w="1500"/>
            <w:shd w:fill="FFFFFF" w:color="auto" w:val="clear"/>
            <w:tcMar>
              <w:top w:type="dxa" w:w="90"/>
              <w:left w:type="dxa" w:w="100"/>
              <w:bottom w:type="dxa" w:w="90"/>
              <w:right w:type="dxa" w:w="100"/>
            </w:tcMar>
            <w:vAlign w:val="center"/>
          </w:tcPr>
          <w:p>
            <w:r>
              <w:rPr>
                <w:sz w:val="18"/>
                <w:szCs w:val="18"/>
              </w:rPr>
              <w:t xml:space="preserve">3 — Motor de recomendação</w:t>
            </w:r>
          </w:p>
        </w:tc>
        <w:tc>
          <w:tcPr>
            <w:tcW w:type="dxa" w:w="4600"/>
            <w:shd w:fill="FFFFFF" w:color="auto" w:val="clear"/>
            <w:tcMar>
              <w:top w:type="dxa" w:w="90"/>
              <w:left w:type="dxa" w:w="100"/>
              <w:bottom w:type="dxa" w:w="90"/>
              <w:right w:type="dxa" w:w="100"/>
            </w:tcMar>
            <w:vAlign w:val="center"/>
          </w:tcPr>
          <w:p>
            <w:r>
              <w:rPr>
                <w:sz w:val="18"/>
                <w:szCs w:val="18"/>
              </w:rPr>
              <w:t xml:space="preserve">Implementar as 4 regras da Seção 7.2 sobre o modelo da Fase 2</w:t>
            </w:r>
          </w:p>
        </w:tc>
        <w:tc>
          <w:tcPr>
            <w:tcW w:type="dxa" w:w="3250"/>
            <w:shd w:fill="FFFFFF" w:color="auto" w:val="clear"/>
            <w:tcMar>
              <w:top w:type="dxa" w:w="90"/>
              <w:left w:type="dxa" w:w="100"/>
              <w:bottom w:type="dxa" w:w="90"/>
              <w:right w:type="dxa" w:w="100"/>
            </w:tcMar>
            <w:vAlign w:val="center"/>
          </w:tcPr>
          <w:p>
            <w:r>
              <w:rPr>
                <w:sz w:val="18"/>
                <w:szCs w:val="18"/>
              </w:rPr>
              <w:t xml:space="preserve">Motor de Recomendação funcional, com casos de teste por regra</w:t>
            </w:r>
          </w:p>
        </w:tc>
      </w:tr>
      <w:tr>
        <w:tc>
          <w:tcPr>
            <w:tcW w:type="dxa" w:w="1500"/>
            <w:shd w:fill="F7F9FC" w:color="auto" w:val="clear"/>
            <w:tcMar>
              <w:top w:type="dxa" w:w="90"/>
              <w:left w:type="dxa" w:w="100"/>
              <w:bottom w:type="dxa" w:w="90"/>
              <w:right w:type="dxa" w:w="100"/>
            </w:tcMar>
            <w:vAlign w:val="center"/>
          </w:tcPr>
          <w:p>
            <w:r>
              <w:rPr>
                <w:sz w:val="18"/>
                <w:szCs w:val="18"/>
              </w:rPr>
              <w:t xml:space="preserve">4 — API e persistência</w:t>
            </w:r>
          </w:p>
        </w:tc>
        <w:tc>
          <w:tcPr>
            <w:tcW w:type="dxa" w:w="4600"/>
            <w:shd w:fill="F7F9FC" w:color="auto" w:val="clear"/>
            <w:tcMar>
              <w:top w:type="dxa" w:w="90"/>
              <w:left w:type="dxa" w:w="100"/>
              <w:bottom w:type="dxa" w:w="90"/>
              <w:right w:type="dxa" w:w="100"/>
            </w:tcMar>
            <w:vAlign w:val="center"/>
          </w:tcPr>
          <w:p>
            <w:r>
              <w:rPr>
                <w:sz w:val="18"/>
                <w:szCs w:val="18"/>
              </w:rPr>
              <w:t xml:space="preserve">Expor os endpoints da Seção 9, ligar ao banco Postgres</w:t>
            </w:r>
          </w:p>
        </w:tc>
        <w:tc>
          <w:tcPr>
            <w:tcW w:type="dxa" w:w="3250"/>
            <w:shd w:fill="F7F9FC" w:color="auto" w:val="clear"/>
            <w:tcMar>
              <w:top w:type="dxa" w:w="90"/>
              <w:left w:type="dxa" w:w="100"/>
              <w:bottom w:type="dxa" w:w="90"/>
              <w:right w:type="dxa" w:w="100"/>
            </w:tcMar>
            <w:vAlign w:val="center"/>
          </w:tcPr>
          <w:p>
            <w:r>
              <w:rPr>
                <w:sz w:val="18"/>
                <w:szCs w:val="18"/>
              </w:rPr>
              <w:t xml:space="preserve">Backend integrado ponta a ponta</w:t>
            </w:r>
          </w:p>
        </w:tc>
      </w:tr>
      <w:tr>
        <w:tc>
          <w:tcPr>
            <w:tcW w:type="dxa" w:w="1500"/>
            <w:shd w:fill="FFFFFF" w:color="auto" w:val="clear"/>
            <w:tcMar>
              <w:top w:type="dxa" w:w="90"/>
              <w:left w:type="dxa" w:w="100"/>
              <w:bottom w:type="dxa" w:w="90"/>
              <w:right w:type="dxa" w:w="100"/>
            </w:tcMar>
            <w:vAlign w:val="center"/>
          </w:tcPr>
          <w:p>
            <w:r>
              <w:rPr>
                <w:sz w:val="18"/>
                <w:szCs w:val="18"/>
              </w:rPr>
              <w:t xml:space="preserve">5 — Cliente</w:t>
            </w:r>
          </w:p>
        </w:tc>
        <w:tc>
          <w:tcPr>
            <w:tcW w:type="dxa" w:w="4600"/>
            <w:shd w:fill="FFFFFF" w:color="auto" w:val="clear"/>
            <w:tcMar>
              <w:top w:type="dxa" w:w="90"/>
              <w:left w:type="dxa" w:w="100"/>
              <w:bottom w:type="dxa" w:w="90"/>
              <w:right w:type="dxa" w:w="100"/>
            </w:tcMar>
            <w:vAlign w:val="center"/>
          </w:tcPr>
          <w:p>
            <w:r>
              <w:rPr>
                <w:sz w:val="18"/>
                <w:szCs w:val="18"/>
              </w:rPr>
              <w:t xml:space="preserve">App da criança (mesmo que simplificado) consumindo a API; painel do professor básico</w:t>
            </w:r>
          </w:p>
        </w:tc>
        <w:tc>
          <w:tcPr>
            <w:tcW w:type="dxa" w:w="3250"/>
            <w:shd w:fill="FFFFFF" w:color="auto" w:val="clear"/>
            <w:tcMar>
              <w:top w:type="dxa" w:w="90"/>
              <w:left w:type="dxa" w:w="100"/>
              <w:bottom w:type="dxa" w:w="90"/>
              <w:right w:type="dxa" w:w="100"/>
            </w:tcMar>
            <w:vAlign w:val="center"/>
          </w:tcPr>
          <w:p>
            <w:r>
              <w:rPr>
                <w:sz w:val="18"/>
                <w:szCs w:val="18"/>
              </w:rPr>
              <w:t xml:space="preserve">Fluxo completo demonstrável (Figura 4) para a apresentação</w:t>
            </w:r>
          </w:p>
        </w:tc>
      </w:tr>
      <w:tr>
        <w:tc>
          <w:tcPr>
            <w:tcW w:type="dxa" w:w="1500"/>
            <w:shd w:fill="F7F9FC" w:color="auto" w:val="clear"/>
            <w:tcMar>
              <w:top w:type="dxa" w:w="90"/>
              <w:left w:type="dxa" w:w="100"/>
              <w:bottom w:type="dxa" w:w="90"/>
              <w:right w:type="dxa" w:w="100"/>
            </w:tcMar>
            <w:vAlign w:val="center"/>
          </w:tcPr>
          <w:p>
            <w:r>
              <w:rPr>
                <w:sz w:val="18"/>
                <w:szCs w:val="18"/>
              </w:rPr>
              <w:t xml:space="preserve">6 — Piloto</w:t>
            </w:r>
          </w:p>
        </w:tc>
        <w:tc>
          <w:tcPr>
            <w:tcW w:type="dxa" w:w="4600"/>
            <w:shd w:fill="F7F9FC" w:color="auto" w:val="clear"/>
            <w:tcMar>
              <w:top w:type="dxa" w:w="90"/>
              <w:left w:type="dxa" w:w="100"/>
              <w:bottom w:type="dxa" w:w="90"/>
              <w:right w:type="dxa" w:w="100"/>
            </w:tcMar>
            <w:vAlign w:val="center"/>
          </w:tcPr>
          <w:p>
            <w:r>
              <w:rPr>
                <w:sz w:val="18"/>
                <w:szCs w:val="18"/>
              </w:rPr>
              <w:t xml:space="preserve">Testar com um pequeno grupo real, comparar com recomendação manual de um professor</w:t>
            </w:r>
          </w:p>
        </w:tc>
        <w:tc>
          <w:tcPr>
            <w:tcW w:type="dxa" w:w="3250"/>
            <w:shd w:fill="F7F9FC" w:color="auto" w:val="clear"/>
            <w:tcMar>
              <w:top w:type="dxa" w:w="90"/>
              <w:left w:type="dxa" w:w="100"/>
              <w:bottom w:type="dxa" w:w="90"/>
              <w:right w:type="dxa" w:w="100"/>
            </w:tcMar>
            <w:vAlign w:val="center"/>
          </w:tcPr>
          <w:p>
            <w:r>
              <w:rPr>
                <w:sz w:val="18"/>
                <w:szCs w:val="18"/>
              </w:rPr>
              <w:t xml:space="preserve">Evidência inicial para a Seção de Validação do resumo de pesquisa</w:t>
            </w:r>
          </w:p>
        </w:tc>
      </w:tr>
    </w:tbl>
    <w:p>
      <w:pPr>
        <w:spacing w:after="160"/>
      </w:pPr>
    </w:p>
    <w:p>
      <w:pPr>
        <w:pStyle w:val="Heading1"/>
        <w:pBdr>
          <w:bottom w:val="single" w:color="2E74B5" w:sz="6" w:space="4"/>
        </w:pBdr>
        <w:spacing w:after="200" w:before="420"/>
      </w:pPr>
      <w:r>
        <w:rPr>
          <w:b/>
          <w:bCs/>
          <w:color w:val="1F3864"/>
          <w:sz w:val="30"/>
          <w:szCs w:val="30"/>
        </w:rPr>
        <w:t xml:space="preserve">14. Riscos Técnicos e Mitigações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3864" w:color="auto" w:val="clear"/>
            <w:tcMar>
              <w:top w:type="dxa" w:w="100"/>
              <w:left w:type="dxa" w:w="100"/>
              <w:bottom w:type="dxa" w:w="100"/>
              <w:right w:type="dxa" w:w="100"/>
            </w:tcMar>
            <w:vAlign w:val="center"/>
          </w:tcPr>
          <w:p>
            <w:r>
              <w:rPr>
                <w:b/>
                <w:bCs/>
                <w:color w:val="FFFFFF"/>
                <w:sz w:val="19"/>
                <w:szCs w:val="19"/>
              </w:rPr>
              <w:t xml:space="preserve">Risco</w:t>
            </w:r>
          </w:p>
        </w:tc>
        <w:tc>
          <w:tcPr>
            <w:tcW w:type="dxa" w:w="5750"/>
            <w:shd w:fill="1F3864" w:color="auto" w:val="clear"/>
            <w:tcMar>
              <w:top w:type="dxa" w:w="100"/>
              <w:left w:type="dxa" w:w="100"/>
              <w:bottom w:type="dxa" w:w="100"/>
              <w:right w:type="dxa" w:w="100"/>
            </w:tcMar>
            <w:vAlign w:val="center"/>
          </w:tcPr>
          <w:p>
            <w:r>
              <w:rPr>
                <w:b/>
                <w:bCs/>
                <w:color w:val="FFFFFF"/>
                <w:sz w:val="19"/>
                <w:szCs w:val="19"/>
              </w:rPr>
              <w:t xml:space="preserve">Mitigação</w:t>
            </w:r>
          </w:p>
        </w:tc>
      </w:tr>
      <w:tr>
        <w:tc>
          <w:tcPr>
            <w:tcW w:type="dxa" w:w="3600"/>
            <w:shd w:fill="FFFFFF" w:color="auto" w:val="clear"/>
            <w:tcMar>
              <w:top w:type="dxa" w:w="90"/>
              <w:left w:type="dxa" w:w="100"/>
              <w:bottom w:type="dxa" w:w="90"/>
              <w:right w:type="dxa" w:w="100"/>
            </w:tcMar>
            <w:vAlign w:val="center"/>
          </w:tcPr>
          <w:p>
            <w:r>
              <w:rPr>
                <w:sz w:val="18"/>
                <w:szCs w:val="18"/>
              </w:rPr>
              <w:t xml:space="preserve">Cold start: sistema não sabe nada sobre uma criança nova</w:t>
            </w:r>
          </w:p>
        </w:tc>
        <w:tc>
          <w:tcPr>
            <w:tcW w:type="dxa" w:w="5750"/>
            <w:shd w:fill="FFFFFF" w:color="auto" w:val="clear"/>
            <w:tcMar>
              <w:top w:type="dxa" w:w="90"/>
              <w:left w:type="dxa" w:w="100"/>
              <w:bottom w:type="dxa" w:w="90"/>
              <w:right w:type="dxa" w:w="100"/>
            </w:tcMar>
            <w:vAlign w:val="center"/>
          </w:tcPr>
          <w:p>
            <w:r>
              <w:rPr>
                <w:sz w:val="18"/>
                <w:szCs w:val="18"/>
              </w:rPr>
              <w:t xml:space="preserve">Diagnóstico inicial (bateria curta de itens-âncora) inicializa P(L0) em vez de assumir zero conhecimento</w:t>
            </w:r>
          </w:p>
        </w:tc>
      </w:tr>
      <w:tr>
        <w:tc>
          <w:tcPr>
            <w:tcW w:type="dxa" w:w="3600"/>
            <w:shd w:fill="F7F9FC" w:color="auto" w:val="clear"/>
            <w:tcMar>
              <w:top w:type="dxa" w:w="90"/>
              <w:left w:type="dxa" w:w="100"/>
              <w:bottom w:type="dxa" w:w="90"/>
              <w:right w:type="dxa" w:w="100"/>
            </w:tcMar>
            <w:vAlign w:val="center"/>
          </w:tcPr>
          <w:p>
            <w:r>
              <w:rPr>
                <w:sz w:val="18"/>
                <w:szCs w:val="18"/>
              </w:rPr>
              <w:t xml:space="preserve">BKT convergir mal com poucos dados por aluno</w:t>
            </w:r>
          </w:p>
        </w:tc>
        <w:tc>
          <w:tcPr>
            <w:tcW w:type="dxa" w:w="5750"/>
            <w:shd w:fill="F7F9FC" w:color="auto" w:val="clear"/>
            <w:tcMar>
              <w:top w:type="dxa" w:w="90"/>
              <w:left w:type="dxa" w:w="100"/>
              <w:bottom w:type="dxa" w:w="90"/>
              <w:right w:type="dxa" w:w="100"/>
            </w:tcMar>
            <w:vAlign w:val="center"/>
          </w:tcPr>
          <w:p>
            <w:r>
              <w:rPr>
                <w:sz w:val="18"/>
                <w:szCs w:val="18"/>
              </w:rPr>
              <w:t xml:space="preserve">Calibrar P(T)/P(S)/P(G) por habilidade usando dados agregados de todos os alunos primeiro, e só depois personalizar por criança</w:t>
            </w:r>
          </w:p>
        </w:tc>
      </w:tr>
      <w:tr>
        <w:tc>
          <w:tcPr>
            <w:tcW w:type="dxa" w:w="3600"/>
            <w:shd w:fill="FFFFFF" w:color="auto" w:val="clear"/>
            <w:tcMar>
              <w:top w:type="dxa" w:w="90"/>
              <w:left w:type="dxa" w:w="100"/>
              <w:bottom w:type="dxa" w:w="90"/>
              <w:right w:type="dxa" w:w="100"/>
            </w:tcMar>
            <w:vAlign w:val="center"/>
          </w:tcPr>
          <w:p>
            <w:r>
              <w:rPr>
                <w:sz w:val="18"/>
                <w:szCs w:val="18"/>
              </w:rPr>
              <w:t xml:space="preserve">Conflito de sincronização no modo offline (ADR-06)</w:t>
            </w:r>
          </w:p>
        </w:tc>
        <w:tc>
          <w:tcPr>
            <w:tcW w:type="dxa" w:w="5750"/>
            <w:shd w:fill="FFFFFF" w:color="auto" w:val="clear"/>
            <w:tcMar>
              <w:top w:type="dxa" w:w="90"/>
              <w:left w:type="dxa" w:w="100"/>
              <w:bottom w:type="dxa" w:w="90"/>
              <w:right w:type="dxa" w:w="100"/>
            </w:tcMar>
            <w:vAlign w:val="center"/>
          </w:tcPr>
          <w:p>
            <w:r>
              <w:rPr>
                <w:sz w:val="18"/>
                <w:szCs w:val="18"/>
              </w:rPr>
              <w:t xml:space="preserve">Eventos são append-only com timestamp local; nunca sobrescrever P(L), sempre recalcular a partir da sequência de eventos ordenada por tempo</w:t>
            </w:r>
          </w:p>
        </w:tc>
      </w:tr>
      <w:tr>
        <w:tc>
          <w:tcPr>
            <w:tcW w:type="dxa" w:w="3600"/>
            <w:shd w:fill="F7F9FC" w:color="auto" w:val="clear"/>
            <w:tcMar>
              <w:top w:type="dxa" w:w="90"/>
              <w:left w:type="dxa" w:w="100"/>
              <w:bottom w:type="dxa" w:w="90"/>
              <w:right w:type="dxa" w:w="100"/>
            </w:tcMar>
            <w:vAlign w:val="center"/>
          </w:tcPr>
          <w:p>
            <w:r>
              <w:rPr>
                <w:sz w:val="18"/>
                <w:szCs w:val="18"/>
              </w:rPr>
              <w:t xml:space="preserve">Overengineering (motor de ML complexo cedo demais)</w:t>
            </w:r>
          </w:p>
        </w:tc>
        <w:tc>
          <w:tcPr>
            <w:tcW w:type="dxa" w:w="5750"/>
            <w:shd w:fill="F7F9FC" w:color="auto" w:val="clear"/>
            <w:tcMar>
              <w:top w:type="dxa" w:w="90"/>
              <w:left w:type="dxa" w:w="100"/>
              <w:bottom w:type="dxa" w:w="90"/>
              <w:right w:type="dxa" w:w="100"/>
            </w:tcMar>
            <w:vAlign w:val="center"/>
          </w:tcPr>
          <w:p>
            <w:r>
              <w:rPr>
                <w:sz w:val="18"/>
                <w:szCs w:val="18"/>
              </w:rPr>
              <w:t xml:space="preserve">ADR-02 e ADR-03 documentam explicitamente a escolha por simplicidade; revisitar só se o piloto mostrar limitação real das regras</w:t>
            </w:r>
          </w:p>
        </w:tc>
      </w:tr>
      <w:tr>
        <w:tc>
          <w:tcPr>
            <w:tcW w:type="dxa" w:w="3600"/>
            <w:shd w:fill="FFFFFF" w:color="auto" w:val="clear"/>
            <w:tcMar>
              <w:top w:type="dxa" w:w="90"/>
              <w:left w:type="dxa" w:w="100"/>
              <w:bottom w:type="dxa" w:w="90"/>
              <w:right w:type="dxa" w:w="100"/>
            </w:tcMar>
            <w:vAlign w:val="center"/>
          </w:tcPr>
          <w:p>
            <w:r>
              <w:rPr>
                <w:sz w:val="18"/>
                <w:szCs w:val="18"/>
              </w:rPr>
              <w:t xml:space="preserve">Conformidade legal (ECA Digital ainda em fiscalização ativa em 2026)</w:t>
            </w:r>
          </w:p>
        </w:tc>
        <w:tc>
          <w:tcPr>
            <w:tcW w:type="dxa" w:w="5750"/>
            <w:shd w:fill="FFFFFF" w:color="auto" w:val="clear"/>
            <w:tcMar>
              <w:top w:type="dxa" w:w="90"/>
              <w:left w:type="dxa" w:w="100"/>
              <w:bottom w:type="dxa" w:w="90"/>
              <w:right w:type="dxa" w:w="100"/>
            </w:tcMar>
            <w:vAlign w:val="center"/>
          </w:tcPr>
          <w:p>
            <w:r>
              <w:rPr>
                <w:sz w:val="18"/>
                <w:szCs w:val="18"/>
              </w:rPr>
              <w:t xml:space="preserve">Revisar a Seção 12 com um jurista ou o professor da disciplina antes de qualquer coleta real de dados de crianças</w:t>
            </w:r>
          </w:p>
        </w:tc>
      </w:tr>
    </w:tbl>
    <w:p>
      <w:pPr>
        <w:spacing w:after="160"/>
      </w:pPr>
    </w:p>
    <w:p>
      <w:pPr>
        <w:pageBreakBefore/>
      </w:pPr>
    </w:p>
    <w:p>
      <w:pPr>
        <w:pStyle w:val="Heading1"/>
        <w:pBdr>
          <w:bottom w:val="single" w:color="2E74B5" w:sz="6" w:space="4"/>
        </w:pBdr>
        <w:spacing w:after="200" w:before="420"/>
      </w:pPr>
      <w:r>
        <w:rPr>
          <w:b/>
          <w:bCs/>
          <w:color w:val="1F3864"/>
          <w:sz w:val="30"/>
          <w:szCs w:val="30"/>
        </w:rPr>
        <w:t xml:space="preserve">Referências Técnicas</w:t>
      </w:r>
    </w:p>
    <w:p>
      <w:pPr>
        <w:spacing w:after="120" w:line="280"/>
        <w:ind w:left="360" w:hanging="360"/>
      </w:pPr>
      <w:r>
        <w:rPr>
          <w:color w:val="333333"/>
          <w:sz w:val="20"/>
          <w:szCs w:val="20"/>
        </w:rPr>
        <w:t xml:space="preserve">Corbett, A. T.; Anderson, J. R. Knowledge Tracing: Modeling the Acquisition of Procedural Knowledge (origem do Bayesian Knowledge Tracing). </w:t>
      </w:r>
      <w:hyperlink w:history="1" r:id="rIdtxmhmccdse4bz0jlqyzkj">
        <w:r>
          <w:rPr>
            <w:rStyle w:val="Hyperlink"/>
            <w:sz w:val="20"/>
            <w:szCs w:val="20"/>
          </w:rPr>
          <w:t xml:space="preserve">https://link.springer.com/article/10.1007/BF01099821</w:t>
        </w:r>
      </w:hyperlink>
    </w:p>
    <w:p>
      <w:pPr>
        <w:spacing w:after="120" w:line="280"/>
        <w:ind w:left="360" w:hanging="360"/>
      </w:pPr>
      <w:r>
        <w:rPr>
          <w:color w:val="333333"/>
          <w:sz w:val="20"/>
          <w:szCs w:val="20"/>
        </w:rPr>
        <w:t xml:space="preserve">Brown, S. The C4 Model for Visualising Software Architecture. </w:t>
      </w:r>
      <w:hyperlink w:history="1" r:id="rIdxdyuwbvsy_riafbj1ikms">
        <w:r>
          <w:rPr>
            <w:rStyle w:val="Hyperlink"/>
            <w:sz w:val="20"/>
            <w:szCs w:val="20"/>
          </w:rPr>
          <w:t xml:space="preserve">https://c4model.com/</w:t>
        </w:r>
      </w:hyperlink>
    </w:p>
    <w:p>
      <w:pPr>
        <w:spacing w:after="120" w:line="280"/>
        <w:ind w:left="360" w:hanging="360"/>
      </w:pPr>
      <w:r>
        <w:rPr>
          <w:color w:val="333333"/>
          <w:sz w:val="20"/>
          <w:szCs w:val="20"/>
        </w:rPr>
        <w:t xml:space="preserve">pyBKT — biblioteca de referência para Bayesian Knowledge Tracing em Python. </w:t>
      </w:r>
      <w:hyperlink w:history="1" r:id="rIdmi4l_i3pmqp8o0p4t5dlt">
        <w:r>
          <w:rPr>
            <w:rStyle w:val="Hyperlink"/>
            <w:sz w:val="20"/>
            <w:szCs w:val="20"/>
          </w:rPr>
          <w:t xml:space="preserve">https://github.com/CAHLR/pyBKT</w:t>
        </w:r>
      </w:hyperlink>
    </w:p>
    <w:p>
      <w:pPr>
        <w:spacing w:after="120" w:line="280"/>
        <w:ind w:left="360" w:hanging="360"/>
      </w:pPr>
      <w:r>
        <w:rPr>
          <w:color w:val="333333"/>
          <w:sz w:val="20"/>
          <w:szCs w:val="20"/>
        </w:rPr>
        <w:t xml:space="preserve">Piech, C. et al. Deep Knowledge Tracing (para contraste com a abordagem escolhida no ADR-02). </w:t>
      </w:r>
      <w:hyperlink w:history="1" r:id="rIdirpgmqlfescgsf1n_9ond">
        <w:r>
          <w:rPr>
            <w:rStyle w:val="Hyperlink"/>
            <w:sz w:val="20"/>
            <w:szCs w:val="20"/>
          </w:rPr>
          <w:t xml:space="preserve">https://arxiv.org/abs/1506.05908</w:t>
        </w:r>
      </w:hyperlink>
    </w:p>
    <w:p>
      <w:pPr>
        <w:spacing w:after="160" w:line="300"/>
      </w:pPr>
      <w:r>
        <w:rPr>
          <w:color w:val="333333"/>
          <w:sz w:val="20"/>
          <w:szCs w:val="20"/>
        </w:rPr>
        <w:t xml:space="preserve">Resumo de pesquisa anterior deste grupo — evidências de eficácia, mercado e restrições legais </w:t>
      </w:r>
      <w:r>
        <w:rPr>
          <w:i/>
          <w:iCs/>
          <w:color w:val="595959"/>
          <w:sz w:val="20"/>
          <w:szCs w:val="20"/>
        </w:rPr>
        <w:t xml:space="preserve">(arquivo Plataforma_Aprendizagem_Personalizada_Resumo.docx, entregue anteriormente).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xmhmccdse4bz0jlqyzkj" Type="http://schemas.openxmlformats.org/officeDocument/2006/relationships/hyperlink" Target="https://link.springer.com/article/10.1007/BF01099821" TargetMode="External"/><Relationship Id="rIdxdyuwbvsy_riafbj1ikms" Type="http://schemas.openxmlformats.org/officeDocument/2006/relationships/hyperlink" Target="https://c4model.com/" TargetMode="External"/><Relationship Id="rIdmi4l_i3pmqp8o0p4t5dlt" Type="http://schemas.openxmlformats.org/officeDocument/2006/relationships/hyperlink" Target="https://github.com/CAHLR/pyBKT" TargetMode="External"/><Relationship Id="rIdirpgmqlfescgsf1n_9ond" Type="http://schemas.openxmlformats.org/officeDocument/2006/relationships/hyperlink" Target="https://arxiv.org/abs/1506.05908" TargetMode="External"/><Relationship Id="rId7" Type="http://schemas.openxmlformats.org/officeDocument/2006/relationships/image" Target="media/344e7ecf842ad7f9059911a75d7daa7631a2b4c0.png"/><Relationship Id="rId8" Type="http://schemas.openxmlformats.org/officeDocument/2006/relationships/image" Target="media/f76c629a697bd7cdc775c1d38b019371fc73b23a.png"/><Relationship Id="rId9" Type="http://schemas.openxmlformats.org/officeDocument/2006/relationships/image" Target="media/4bd248d93eb9fb1999f228fcdc1cb02ecdc825d8.png"/><Relationship Id="rId10" Type="http://schemas.openxmlformats.org/officeDocument/2006/relationships/image" Target="media/2223fd38d8b9aa77e09899a9cfdb6107ba895e18.png"/><Relationship Id="rId11" Type="http://schemas.openxmlformats.org/officeDocument/2006/relationships/image" Target="media/c7da008398e1e054ef855839cf76f4bad2bf8e8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2026-09-21T11:54:45.773Z</dcterms:created>
  <dcterms:modified xsi:type="dcterms:W3CDTF">2026-09-21T11:54:45.773Z</dcterms:modified>
</cp:coreProperties>
</file>

<file path=docProps/custom.xml><?xml version="1.0" encoding="utf-8"?>
<Properties xmlns="http://schemas.openxmlformats.org/officeDocument/2006/custom-properties" xmlns:vt="http://schemas.openxmlformats.org/officeDocument/2006/docPropsVTypes"/>
</file>