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 w:eastAsia="Arial"/>
          <w:b/>
          <w:sz w:val="24"/>
        </w:rPr>
        <w:t>RELATÓRIO — ATIVIDADE MONITORADA 1</w:t>
      </w:r>
    </w:p>
    <w:p>
      <w:pPr>
        <w:spacing w:after="60"/>
        <w:jc w:val="center"/>
      </w:pPr>
      <w:r>
        <w:rPr>
          <w:rFonts w:ascii="Arial" w:hAnsi="Arial" w:eastAsia="Arial"/>
          <w:b/>
          <w:sz w:val="24"/>
        </w:rPr>
        <w:t>Sabor &amp; Cia — Alimentos Ltda.</w:t>
      </w:r>
    </w:p>
    <w:p>
      <w:pPr>
        <w:spacing w:after="60"/>
        <w:jc w:val="center"/>
      </w:pPr>
      <w:r>
        <w:rPr>
          <w:rFonts w:ascii="Arial" w:hAnsi="Arial" w:eastAsia="Arial"/>
          <w:b w:val="0"/>
          <w:sz w:val="24"/>
        </w:rPr>
        <w:t>Grupo 5: Arthur Gomes Malucelli; Artur Ferreira Santos Lemos; Caio Pupo Murari; João Paulo de Almeida Bastos Bicudo; Matheus Scigliano Dabbur Moreira.</w:t>
      </w:r>
    </w:p>
    <w:p>
      <w:pPr>
        <w:pStyle w:val="PlainHeading"/>
      </w:pPr>
      <w:r>
        <w:rPr>
          <w:rFonts w:ascii="Arial" w:hAnsi="Arial" w:eastAsia="Arial"/>
          <w:sz w:val="24"/>
        </w:rPr>
        <w:t>a) Diagnóstico</w:t>
      </w:r>
    </w:p>
    <w:p>
      <w:pPr>
        <w:jc w:val="both"/>
      </w:pPr>
      <w:r>
        <w:rPr>
          <w:rFonts w:ascii="Arial" w:hAnsi="Arial" w:eastAsia="Arial"/>
          <w:sz w:val="24"/>
        </w:rPr>
        <w:t>O problema central da Sabor &amp; Cia não é a ausência de um único software, mas a fragmentação de processos, dados e responsabilidades. A solução deve combinar sistemas especializados e integrados, com uma fonte confiável de dados e regras comuns de governança. O ERP pode sustentar o registro operacional, mas não substitui as funções específicas de SCM, CRM, BI e Gestão do Conhecimento.</w:t>
      </w:r>
    </w:p>
    <w:p>
      <w:pPr>
        <w:pStyle w:val="PlainBullet"/>
      </w:pPr>
      <w:r>
        <w:rPr>
          <w:rFonts w:ascii="Arial" w:hAnsi="Arial" w:eastAsia="Arial"/>
          <w:b/>
          <w:sz w:val="24"/>
        </w:rPr>
        <w:t xml:space="preserve">• Estoque divergente. </w:t>
      </w:r>
      <w:r>
        <w:rPr>
          <w:rFonts w:ascii="Arial" w:hAnsi="Arial" w:eastAsia="Arial"/>
          <w:sz w:val="24"/>
        </w:rPr>
        <w:t>A empresa deve utilizar SCM integrado ao módulo de estoque do ERP para registrar movimentações por fábrica em tempo real, padronizar cadastros de produtos, lotes e datas de validade e manter uma posição única de estoque.</w:t>
      </w:r>
    </w:p>
    <w:p>
      <w:pPr>
        <w:pStyle w:val="PlainBullet"/>
      </w:pPr>
      <w:r>
        <w:rPr>
          <w:rFonts w:ascii="Arial" w:hAnsi="Arial" w:eastAsia="Arial"/>
          <w:b/>
          <w:sz w:val="24"/>
        </w:rPr>
        <w:t xml:space="preserve">• Rupturas, excesso de perecíveis, perdas e atrasos. </w:t>
      </w:r>
      <w:r>
        <w:rPr>
          <w:rFonts w:ascii="Arial" w:hAnsi="Arial" w:eastAsia="Arial"/>
          <w:sz w:val="24"/>
        </w:rPr>
        <w:t>O SCM permite planejar demanda e abastecimento, definir estoques de segurança, rastrear lotes e coordenar fábricas, centros de distribuição e transporte. A literatura destaca integração e compartilhamento de informação como capacidades centrais do SCM (Kakhki &amp; Gargeya, 2019).</w:t>
      </w:r>
    </w:p>
    <w:p>
      <w:pPr>
        <w:pStyle w:val="PlainBullet"/>
      </w:pPr>
      <w:r>
        <w:rPr>
          <w:rFonts w:ascii="Arial" w:hAnsi="Arial" w:eastAsia="Arial"/>
          <w:b/>
          <w:sz w:val="24"/>
        </w:rPr>
        <w:t xml:space="preserve">• Relacionamento com clientes disperso. </w:t>
      </w:r>
      <w:r>
        <w:rPr>
          <w:rFonts w:ascii="Arial" w:hAnsi="Arial" w:eastAsia="Arial"/>
          <w:sz w:val="24"/>
        </w:rPr>
        <w:t>O CRM centraliza clientes, prospects, interações, pedidos e reclamações. Isso cria uma memória institucional das contas e impede que o histórico comercial seja perdido quando um vendedor sai da empresa (Soltani &amp; Jafari Navimipour, 2016).</w:t>
      </w:r>
    </w:p>
    <w:p>
      <w:pPr>
        <w:pStyle w:val="PlainBullet"/>
      </w:pPr>
      <w:r>
        <w:rPr>
          <w:rFonts w:ascii="Arial" w:hAnsi="Arial" w:eastAsia="Arial"/>
          <w:b/>
          <w:sz w:val="24"/>
        </w:rPr>
        <w:t xml:space="preserve">• Relatórios lentos e incompatíveis. </w:t>
      </w:r>
      <w:r>
        <w:rPr>
          <w:rFonts w:ascii="Arial" w:hAnsi="Arial" w:eastAsia="Arial"/>
          <w:sz w:val="24"/>
        </w:rPr>
        <w:t>O BI deve consolidar dados validados em painéis com definições únicas de receita, estoque, perdas e nível de serviço. O BI analisa a informação, mas não corrige dados ruins na origem. A adoção e o uso efetivo são necessários para capturar valor (Ain et al., 2019).</w:t>
      </w:r>
    </w:p>
    <w:p>
      <w:pPr>
        <w:pStyle w:val="PlainBullet"/>
      </w:pPr>
      <w:r>
        <w:rPr>
          <w:rFonts w:ascii="Arial" w:hAnsi="Arial" w:eastAsia="Arial"/>
          <w:b/>
          <w:sz w:val="24"/>
        </w:rPr>
        <w:t xml:space="preserve">• Perda de conhecimento dos gerentes. </w:t>
      </w:r>
      <w:r>
        <w:rPr>
          <w:rFonts w:ascii="Arial" w:hAnsi="Arial" w:eastAsia="Arial"/>
          <w:sz w:val="24"/>
        </w:rPr>
        <w:t>Um sistema de Gestão do Conhecimento deve registrar procedimentos, soluções de falhas e lições aprendidas em uma base pesquisável, com documentos, vídeos e checklists. Cultura, apoio gerencial, treinamento e qualidade do conteúdo são fatores críticos (Alam et al., 2025).</w:t>
      </w:r>
    </w:p>
    <w:p>
      <w:pPr>
        <w:pStyle w:val="PlainHeading"/>
      </w:pPr>
      <w:r>
        <w:rPr>
          <w:rFonts w:ascii="Arial" w:hAnsi="Arial" w:eastAsia="Arial"/>
          <w:sz w:val="24"/>
        </w:rPr>
        <w:t>b) Priorização</w:t>
      </w:r>
    </w:p>
    <w:p>
      <w:pPr>
        <w:jc w:val="both"/>
      </w:pPr>
      <w:r>
        <w:rPr>
          <w:rFonts w:ascii="Arial" w:hAnsi="Arial" w:eastAsia="Arial"/>
          <w:sz w:val="24"/>
        </w:rPr>
        <w:t>A primeira implementação deve ser o SCM, privilegiando Operações e Cadeia de Suprimentos. O escopo inicial deve incluir estoque, planejamento de demanda, reposição, lotes e validade e logística. Essa escolha ataca os prejuízos mais imediatos do caso: descarte de perecíveis, vendas perdidas por ruptura, atrasos e capital imobilizado. Também cria dados operacionais mais confiáveis para o BI.</w:t>
      </w:r>
    </w:p>
    <w:p>
      <w:pPr>
        <w:jc w:val="both"/>
      </w:pPr>
      <w:r>
        <w:rPr>
          <w:rFonts w:ascii="Arial" w:hAnsi="Arial" w:eastAsia="Arial"/>
          <w:sz w:val="24"/>
        </w:rPr>
        <w:t>Não recomendamos implantar um ERP completo em formato “big bang” no primeiro ano. O orçamento é limitado, a implantação é longa e exige redesenho de processos, migração e mudança organizacional. Uma revisão de 126 publicações identifica implementação, integração, participação dos usuários, tomada de decisão e gestão de riscos entre as principais preocupações associadas a ERP (Martins &amp; Belfo, 2023). O sistema de faturamento atual pode permanecer temporariamente, integrado ao SCM por API.</w:t>
      </w:r>
    </w:p>
    <w:p>
      <w:pPr>
        <w:pStyle w:val="PlainBullet"/>
      </w:pPr>
      <w:r>
        <w:rPr>
          <w:rFonts w:ascii="Arial" w:hAnsi="Arial" w:eastAsia="Arial"/>
          <w:b/>
          <w:sz w:val="24"/>
        </w:rPr>
        <w:t xml:space="preserve">• Fase 1 — Preparação (0–2 meses). </w:t>
      </w:r>
      <w:r>
        <w:rPr>
          <w:rFonts w:ascii="Arial" w:hAnsi="Arial" w:eastAsia="Arial"/>
          <w:sz w:val="24"/>
        </w:rPr>
        <w:t>Mapear processos, definir responsáveis pelos dados, padronizar produtos, unidades, lotes e validade e realizar uma contagem física inicial.</w:t>
      </w:r>
    </w:p>
    <w:p>
      <w:pPr>
        <w:pStyle w:val="PlainBullet"/>
      </w:pPr>
      <w:r>
        <w:rPr>
          <w:rFonts w:ascii="Arial" w:hAnsi="Arial" w:eastAsia="Arial"/>
          <w:b/>
          <w:sz w:val="24"/>
        </w:rPr>
        <w:t xml:space="preserve">• Fase 2 — Piloto (3–5 meses). </w:t>
      </w:r>
      <w:r>
        <w:rPr>
          <w:rFonts w:ascii="Arial" w:hAnsi="Arial" w:eastAsia="Arial"/>
          <w:sz w:val="24"/>
        </w:rPr>
        <w:t>Implantar o SCM em uma fábrica e em um fluxo de distribuição, com integração ao faturamento e período curto de conferência paralela.</w:t>
      </w:r>
    </w:p>
    <w:p>
      <w:pPr>
        <w:pStyle w:val="PlainBullet"/>
      </w:pPr>
      <w:r>
        <w:rPr>
          <w:rFonts w:ascii="Arial" w:hAnsi="Arial" w:eastAsia="Arial"/>
          <w:b/>
          <w:sz w:val="24"/>
        </w:rPr>
        <w:t xml:space="preserve">• Fase 3 — Expansão (6–10 meses). </w:t>
      </w:r>
      <w:r>
        <w:rPr>
          <w:rFonts w:ascii="Arial" w:hAnsi="Arial" w:eastAsia="Arial"/>
          <w:sz w:val="24"/>
        </w:rPr>
        <w:t>Corrigir as falhas do piloto, treinar usuários-chave e ampliar a solução para as outras duas fábricas e para a logística nacional.</w:t>
      </w:r>
    </w:p>
    <w:p>
      <w:pPr>
        <w:pStyle w:val="PlainBullet"/>
      </w:pPr>
      <w:r>
        <w:rPr>
          <w:rFonts w:ascii="Arial" w:hAnsi="Arial" w:eastAsia="Arial"/>
          <w:b/>
          <w:sz w:val="24"/>
        </w:rPr>
        <w:t xml:space="preserve">• Fase 4 — Consolidação (11–12 meses). </w:t>
      </w:r>
      <w:r>
        <w:rPr>
          <w:rFonts w:ascii="Arial" w:hAnsi="Arial" w:eastAsia="Arial"/>
          <w:sz w:val="24"/>
        </w:rPr>
        <w:t>Ativar um painel básico de BI e formalizar a rotina de melhoria. CRM e KMS entram na sequência, embora a documentação dos procedimentos críticos possa começar imediatamente.</w:t>
      </w:r>
    </w:p>
    <w:p>
      <w:pPr>
        <w:pStyle w:val="PlainHeading"/>
      </w:pPr>
      <w:r>
        <w:rPr>
          <w:rFonts w:ascii="Arial" w:hAnsi="Arial" w:eastAsia="Arial"/>
          <w:sz w:val="24"/>
        </w:rPr>
        <w:t>c) Riscos</w:t>
      </w:r>
    </w:p>
    <w:p>
      <w:pPr>
        <w:pStyle w:val="PlainBullet"/>
      </w:pPr>
      <w:r>
        <w:rPr>
          <w:rFonts w:ascii="Arial" w:hAnsi="Arial" w:eastAsia="Arial"/>
          <w:b/>
          <w:sz w:val="24"/>
        </w:rPr>
        <w:t xml:space="preserve">• 1. Dados incorretos ou incompletos. </w:t>
      </w:r>
      <w:r>
        <w:rPr>
          <w:rFonts w:ascii="Arial" w:hAnsi="Arial" w:eastAsia="Arial"/>
          <w:sz w:val="24"/>
        </w:rPr>
        <w:t>Previsões e reposições podem continuar erradas. A mitigação exige saneamento de cadastros, contagem física, regras de validação, responsáveis por dados e auditorias mensais.</w:t>
      </w:r>
    </w:p>
    <w:p>
      <w:pPr>
        <w:pStyle w:val="PlainBullet"/>
      </w:pPr>
      <w:r>
        <w:rPr>
          <w:rFonts w:ascii="Arial" w:hAnsi="Arial" w:eastAsia="Arial"/>
          <w:b/>
          <w:sz w:val="24"/>
        </w:rPr>
        <w:t xml:space="preserve">• 2. Resistência dos funcionários. </w:t>
      </w:r>
      <w:r>
        <w:rPr>
          <w:rFonts w:ascii="Arial" w:hAnsi="Arial" w:eastAsia="Arial"/>
          <w:sz w:val="24"/>
        </w:rPr>
        <w:t>Os usuários podem manter planilhas paralelas. A empresa deve envolvê-los no desenho, treinar por função, criar suporte local, medir adesão e eliminar gradualmente os controles antigos.</w:t>
      </w:r>
    </w:p>
    <w:p>
      <w:pPr>
        <w:pStyle w:val="PlainBullet"/>
      </w:pPr>
      <w:r>
        <w:rPr>
          <w:rFonts w:ascii="Arial" w:hAnsi="Arial" w:eastAsia="Arial"/>
          <w:b/>
          <w:sz w:val="24"/>
        </w:rPr>
        <w:t xml:space="preserve">• 3. Falhas de integração. </w:t>
      </w:r>
      <w:r>
        <w:rPr>
          <w:rFonts w:ascii="Arial" w:hAnsi="Arial" w:eastAsia="Arial"/>
          <w:sz w:val="24"/>
        </w:rPr>
        <w:t>Problemas entre SCM, faturamento e sistemas legados podem gerar pedidos duplicados ou saldos divergentes. A resposta é testar APIs, homologar antes da produção, reconciliar dados e manter um plano de contingência.</w:t>
      </w:r>
    </w:p>
    <w:p>
      <w:pPr>
        <w:pStyle w:val="PlainBullet"/>
      </w:pPr>
      <w:r>
        <w:rPr>
          <w:rFonts w:ascii="Arial" w:hAnsi="Arial" w:eastAsia="Arial"/>
          <w:b/>
          <w:sz w:val="24"/>
        </w:rPr>
        <w:t xml:space="preserve">• 4. Estouro de prazo, custo e escopo. </w:t>
      </w:r>
      <w:r>
        <w:rPr>
          <w:rFonts w:ascii="Arial" w:hAnsi="Arial" w:eastAsia="Arial"/>
          <w:sz w:val="24"/>
        </w:rPr>
        <w:t>O projeto deve começar com um produto mínimo viável, escopo fechado, implantação por fases, marcos de decisão e controle do custo total de propriedade.</w:t>
      </w:r>
    </w:p>
    <w:p>
      <w:pPr>
        <w:pStyle w:val="PlainBullet"/>
      </w:pPr>
      <w:r>
        <w:rPr>
          <w:rFonts w:ascii="Arial" w:hAnsi="Arial" w:eastAsia="Arial"/>
          <w:b/>
          <w:sz w:val="24"/>
        </w:rPr>
        <w:t xml:space="preserve">• 5. Dependência do fornecedor e segurança. </w:t>
      </w:r>
      <w:r>
        <w:rPr>
          <w:rFonts w:ascii="Arial" w:hAnsi="Arial" w:eastAsia="Arial"/>
          <w:sz w:val="24"/>
        </w:rPr>
        <w:t>A empresa deve exigir acordo de nível de serviço, portabilidade dos dados, padrões abertos, backups testados, controle de acesso e plano de saída.</w:t>
      </w:r>
    </w:p>
    <w:p>
      <w:pPr>
        <w:pStyle w:val="PlainBullet"/>
      </w:pPr>
      <w:r>
        <w:rPr>
          <w:rFonts w:ascii="Arial" w:hAnsi="Arial" w:eastAsia="Arial"/>
          <w:b/>
          <w:sz w:val="24"/>
        </w:rPr>
        <w:t xml:space="preserve">• 6. Previsão de demanda inadequada. </w:t>
      </w:r>
      <w:r>
        <w:rPr>
          <w:rFonts w:ascii="Arial" w:hAnsi="Arial" w:eastAsia="Arial"/>
          <w:sz w:val="24"/>
        </w:rPr>
        <w:t>Mesmo com o SCM, modelos ruins podem gerar excesso ou falta. A empresa deve revisar previsões, segmentar por produto e testar o modelo antes da expansão.</w:t>
      </w:r>
    </w:p>
    <w:p>
      <w:pPr>
        <w:pStyle w:val="PlainHeading"/>
      </w:pPr>
      <w:r>
        <w:rPr>
          <w:rFonts w:ascii="Arial" w:hAnsi="Arial" w:eastAsia="Arial"/>
          <w:sz w:val="24"/>
        </w:rPr>
        <w:t>d) Indicadores mensais de sucesso (KPIs)</w:t>
      </w:r>
    </w:p>
    <w:p>
      <w:pPr>
        <w:pStyle w:val="PlainBullet"/>
      </w:pPr>
      <w:r>
        <w:rPr>
          <w:rFonts w:ascii="Arial" w:hAnsi="Arial" w:eastAsia="Arial"/>
          <w:b/>
          <w:sz w:val="24"/>
        </w:rPr>
        <w:t xml:space="preserve">• 1. Acurácia do estoque. </w:t>
      </w:r>
      <w:r>
        <w:rPr>
          <w:rFonts w:ascii="Arial" w:hAnsi="Arial" w:eastAsia="Arial"/>
          <w:sz w:val="24"/>
        </w:rPr>
        <w:t>Comparação entre a quantidade registrada e a contagem física por produto e fábrica. Quanto maior, melhor.</w:t>
      </w:r>
    </w:p>
    <w:p>
      <w:pPr>
        <w:pStyle w:val="PlainBullet"/>
      </w:pPr>
      <w:r>
        <w:rPr>
          <w:rFonts w:ascii="Arial" w:hAnsi="Arial" w:eastAsia="Arial"/>
          <w:b/>
          <w:sz w:val="24"/>
        </w:rPr>
        <w:t xml:space="preserve">• 2. Taxa de ruptura. </w:t>
      </w:r>
      <w:r>
        <w:rPr>
          <w:rFonts w:ascii="Arial" w:hAnsi="Arial" w:eastAsia="Arial"/>
          <w:sz w:val="24"/>
        </w:rPr>
        <w:t>Percentual de produtos ou localizações indisponíveis diante da demanda. Quanto menor, melhor.</w:t>
      </w:r>
    </w:p>
    <w:p>
      <w:pPr>
        <w:pStyle w:val="PlainBullet"/>
      </w:pPr>
      <w:r>
        <w:rPr>
          <w:rFonts w:ascii="Arial" w:hAnsi="Arial" w:eastAsia="Arial"/>
          <w:b/>
          <w:sz w:val="24"/>
        </w:rPr>
        <w:t xml:space="preserve">• 3. Perdas por vencimento. </w:t>
      </w:r>
      <w:r>
        <w:rPr>
          <w:rFonts w:ascii="Arial" w:hAnsi="Arial" w:eastAsia="Arial"/>
          <w:sz w:val="24"/>
        </w:rPr>
        <w:t>Valor descartado por validade dividido pelo valor produzido ou movimentado. Quanto menor, melhor.</w:t>
      </w:r>
    </w:p>
    <w:p>
      <w:pPr>
        <w:pStyle w:val="PlainBullet"/>
      </w:pPr>
      <w:r>
        <w:rPr>
          <w:rFonts w:ascii="Arial" w:hAnsi="Arial" w:eastAsia="Arial"/>
          <w:b/>
          <w:sz w:val="24"/>
        </w:rPr>
        <w:t xml:space="preserve">• 4. OTIF. </w:t>
      </w:r>
      <w:r>
        <w:rPr>
          <w:rFonts w:ascii="Arial" w:hAnsi="Arial" w:eastAsia="Arial"/>
          <w:sz w:val="24"/>
        </w:rPr>
        <w:t>Percentual de pedidos entregues completos e dentro do prazo. Quanto maior, melhor.</w:t>
      </w:r>
    </w:p>
    <w:p>
      <w:pPr>
        <w:pStyle w:val="PlainBullet"/>
      </w:pPr>
      <w:r>
        <w:rPr>
          <w:rFonts w:ascii="Arial" w:hAnsi="Arial" w:eastAsia="Arial"/>
          <w:b/>
          <w:sz w:val="24"/>
        </w:rPr>
        <w:t xml:space="preserve">• 5. Giro e cobertura de estoque. </w:t>
      </w:r>
      <w:r>
        <w:rPr>
          <w:rFonts w:ascii="Arial" w:hAnsi="Arial" w:eastAsia="Arial"/>
          <w:sz w:val="24"/>
        </w:rPr>
        <w:t>O giro relaciona custo das mercadorias vendidas e estoque médio; a cobertura mede os dias de estoque disponível. O objetivo é equilibrar excesso e falta.</w:t>
      </w:r>
    </w:p>
    <w:p>
      <w:pPr>
        <w:pStyle w:val="PlainBullet"/>
      </w:pPr>
      <w:r>
        <w:rPr>
          <w:rFonts w:ascii="Arial" w:hAnsi="Arial" w:eastAsia="Arial"/>
          <w:b/>
          <w:sz w:val="24"/>
        </w:rPr>
        <w:t xml:space="preserve">• 6. Erro de previsão (MAPE). </w:t>
      </w:r>
      <w:r>
        <w:rPr>
          <w:rFonts w:ascii="Arial" w:hAnsi="Arial" w:eastAsia="Arial"/>
          <w:sz w:val="24"/>
        </w:rPr>
        <w:t>Média do erro percentual absoluto entre a demanda real e a prevista, por produto ou família. Quanto menor, melhor.</w:t>
      </w:r>
    </w:p>
    <w:p>
      <w:pPr>
        <w:pStyle w:val="PlainBullet"/>
      </w:pPr>
      <w:r>
        <w:rPr>
          <w:rFonts w:ascii="Arial" w:hAnsi="Arial" w:eastAsia="Arial"/>
          <w:b/>
          <w:sz w:val="24"/>
        </w:rPr>
        <w:t xml:space="preserve">• 7. Tempo de fechamento do relatório. </w:t>
      </w:r>
      <w:r>
        <w:rPr>
          <w:rFonts w:ascii="Arial" w:hAnsi="Arial" w:eastAsia="Arial"/>
          <w:sz w:val="24"/>
        </w:rPr>
        <w:t>Horas ou dias entre o fim do mês e a disponibilização do painel validado. Quanto menor, melhor.</w:t>
      </w:r>
    </w:p>
    <w:p>
      <w:pPr>
        <w:jc w:val="both"/>
      </w:pPr>
      <w:r>
        <w:rPr>
          <w:rFonts w:ascii="Arial" w:hAnsi="Arial" w:eastAsia="Arial"/>
          <w:sz w:val="24"/>
        </w:rPr>
        <w:t>Antes do piloto, a Sabor &amp; Cia deve medir a situação inicial de cada indicador. As metas numéricas só devem ser definidas depois dessa medição, para evitar objetivos arbitrários. O acompanhamento deve ser separado por fábrica, produto e canal.</w:t>
      </w:r>
    </w:p>
    <w:p>
      <w:pPr>
        <w:pStyle w:val="PlainHeading"/>
      </w:pPr>
      <w:r>
        <w:rPr>
          <w:rFonts w:ascii="Arial" w:hAnsi="Arial" w:eastAsia="Arial"/>
          <w:sz w:val="24"/>
        </w:rPr>
        <w:t>Referências</w:t>
      </w:r>
    </w:p>
    <w:p>
      <w:pPr>
        <w:spacing w:after="80" w:line="240" w:lineRule="auto"/>
        <w:ind w:left="397" w:hanging="397"/>
      </w:pPr>
      <w:r>
        <w:rPr>
          <w:rFonts w:ascii="Arial" w:hAnsi="Arial" w:eastAsia="Arial"/>
          <w:sz w:val="24"/>
        </w:rPr>
        <w:t>Ain, N. U., Vaia, G., DeLone, W. H., &amp; Waheed, M. (2019). Two decades of research on business intelligence system adoption, utilization and success: A systematic literature review. Decision Support Systems, 125, 113113. https://doi.org/10.1016/j.dss.2019.113113</w:t>
      </w:r>
    </w:p>
    <w:p>
      <w:pPr>
        <w:spacing w:after="80" w:line="240" w:lineRule="auto"/>
        <w:ind w:left="397" w:hanging="397"/>
      </w:pPr>
      <w:r>
        <w:rPr>
          <w:rFonts w:ascii="Arial" w:hAnsi="Arial" w:eastAsia="Arial"/>
          <w:sz w:val="24"/>
        </w:rPr>
        <w:t>Alam, S., Islam, K. A., Miah, R., Afrin, S., Islam, M. A., Hoque, M. R., &amp; Mahmud, I. (2025). Key success factors of knowledge management systems for optimizing organizational performance: A PRISMA-based systematic literature review. Heliyon, 11, e44097. https://doi.org/10.1016/j.heliyon.2025.e44097</w:t>
      </w:r>
    </w:p>
    <w:p>
      <w:pPr>
        <w:spacing w:after="80" w:line="240" w:lineRule="auto"/>
        <w:ind w:left="397" w:hanging="397"/>
      </w:pPr>
      <w:r>
        <w:rPr>
          <w:rFonts w:ascii="Arial" w:hAnsi="Arial" w:eastAsia="Arial"/>
          <w:sz w:val="24"/>
        </w:rPr>
        <w:t>Kakhki, M. D., &amp; Gargeya, V. B. (2019). Information systems for supply chain management: A systematic literature analysis. International Journal of Production Research, 57(15–16), 5318–5339. https://doi.org/10.1080/00207543.2019.1570376</w:t>
      </w:r>
    </w:p>
    <w:p>
      <w:pPr>
        <w:spacing w:after="80" w:line="240" w:lineRule="auto"/>
        <w:ind w:left="397" w:hanging="397"/>
      </w:pPr>
      <w:r>
        <w:rPr>
          <w:rFonts w:ascii="Arial" w:hAnsi="Arial" w:eastAsia="Arial"/>
          <w:sz w:val="24"/>
        </w:rPr>
        <w:t>Martins, E. J., &amp; Belfo, F. P. (2023). Major concerns about enterprise resource planning (ERP) systems: A systematic review of a decade of research (2011–2021). Procedia Computer Science, 219, 378–387. https://doi.org/10.1016/j.procs.2023.01.303</w:t>
      </w:r>
    </w:p>
    <w:p>
      <w:pPr>
        <w:spacing w:after="80" w:line="240" w:lineRule="auto"/>
        <w:ind w:left="397" w:hanging="397"/>
      </w:pPr>
      <w:r>
        <w:rPr>
          <w:rFonts w:ascii="Arial" w:hAnsi="Arial" w:eastAsia="Arial"/>
          <w:sz w:val="24"/>
        </w:rPr>
        <w:t>Soltani, Z., &amp; Jafari Navimipour, N. (2016). Customer relationship management mechanisms: A systematic review of the state of the art literature and recommendations for future research. Computers in Human Behavior, 61, 667–688. https://doi.org/10.1016/j.chb.2016.03.008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Arial"/>
      <w:color w:val="4F81BD" w:themeColor="accent1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/>
      <w:sz w:val="24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/>
      <w:i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/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/>
      <w:b/>
      <w:bCs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/>
      <w:i/>
      <w:iCs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/>
      <w:b/>
      <w:bCs/>
      <w:i/>
      <w:iCs/>
      <w:color w:val="4F81BD" w:themeColor="accent1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/>
      <w:i/>
      <w:iCs/>
      <w:color w:val="808080" w:themeColor="text1" w:themeTint="7F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/>
      <w:b/>
      <w:bCs/>
      <w:i/>
      <w:iCs/>
      <w:color w:val="4F81BD" w:themeColor="accent1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/>
      <w:smallCaps/>
      <w:color w:val="C0504D" w:themeColor="accent2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/>
      <w:b/>
      <w:bCs/>
      <w:smallCaps/>
      <w:color w:val="C0504D" w:themeColor="accent2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/>
      <w:b/>
      <w:bCs/>
      <w:smallCaps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/>
      <w:color w:val="000000" w:themeColor="text1" w:themeShade="BF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/>
      <w:color w:val="365F91" w:themeColor="accent1" w:themeShade="BF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/>
      <w:color w:val="943634" w:themeColor="accent2" w:themeShade="BF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/>
      <w:color w:val="76923C" w:themeColor="accent3" w:themeShade="BF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/>
      <w:color w:val="5F497A" w:themeColor="accent4" w:themeShade="BF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/>
      <w:color w:val="31849B" w:themeColor="accent5" w:themeShade="BF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/>
      <w:color w:val="E36C0A" w:themeColor="accent6" w:themeShade="BF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inHeading">
    <w:name w:val="Plain Heading"/>
    <w:pPr>
      <w:keepNext/>
      <w:spacing w:before="160" w:after="80"/>
    </w:pPr>
    <w:rPr>
      <w:rFonts w:ascii="Arial" w:hAnsi="Arial" w:eastAsia="Arial"/>
      <w:b/>
      <w:sz w:val="24"/>
    </w:rPr>
  </w:style>
  <w:style w:type="paragraph" w:customStyle="1" w:styleId="PlainBullet">
    <w:name w:val="Plain Bullet"/>
    <w:pPr>
      <w:spacing w:after="60" w:line="240" w:lineRule="auto"/>
      <w:ind w:left="397" w:hanging="227"/>
    </w:pPr>
    <w:rPr>
      <w:rFonts w:ascii="Arial" w:hAnsi="Arial" w:eastAsia="Arial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Monitorada 1 — Sabor &amp; Cia</dc:title>
  <dc:subject/>
  <dc:creator>Grupo 5 — FGV EAESP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