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ANÁLISE DA DEMONSTRAÇÃO DOS FLUXOS DE CAIXA — ALPHA CORPORATION</w:t>
      </w:r>
    </w:p>
    <w:p>
      <w:pPr>
        <w:pStyle w:val="DocSub"/>
      </w:pPr>
      <w:r>
        <w:t>Contabilidade Financeira — Caso Statements of Cash Flows: Three Examples</w:t>
      </w:r>
    </w:p>
    <w:p>
      <w:pPr>
        <w:pStyle w:val="BodyA"/>
      </w:pPr>
      <w:r>
        <w:rPr>
          <w:b/>
        </w:rPr>
        <w:t xml:space="preserve">Grupo 10: </w:t>
      </w:r>
      <w:r>
        <w:t>Arthur Gomes Malucelli; Caio Pupo Murari; João Paulo de Almeida Bastos Bicudo.</w:t>
      </w:r>
    </w:p>
    <w:p>
      <w:pPr>
        <w:pStyle w:val="BodyA"/>
      </w:pPr>
      <w:r>
        <w:t>Valores em US$ milhões. A análise considera apenas a Alpha Corporation, conforme a pasta de entrega “Caso Cash Flow — só Alfa”.</w:t>
      </w:r>
    </w:p>
    <w:p>
      <w:pPr>
        <w:pStyle w:val="Section"/>
      </w:pPr>
      <w:r>
        <w:t>1. Síntese da avaliação</w:t>
      </w:r>
    </w:p>
    <w:p>
      <w:pPr>
        <w:pStyle w:val="BodyA"/>
      </w:pPr>
      <w:r>
        <w:t>A Alpha apresenta melhora contínua na geração operacional de caixa: o fluxo de caixa das operações sobe de 46,8 em 1989 para 89,3 em 1990 e 125,2 em 1991. Apesar disso, a empresa permanece com prejuízo em todos os anos. A melhora do caixa não resulta de lucro recorrente, mas principalmente de despesas sem efeito caixa, reestruturações e liberação de capital de giro. Paralelamente, os investimentos em ativos depreciáveis caem fortemente, de 303,6 para 129,7, e os dividendos são eliminados. A empresa reduz dívidas em 1990 e 1991, mas depende de vendas de ativos e da alienação de operações descontinuadas. Portanto, a liquidez melhora, porém a força financeira ainda é frágil e compatível com uma empresa em reestruturação, não com uma operação saudável e em expansão.</w:t>
      </w:r>
    </w:p>
    <w:p>
      <w:pPr>
        <w:pStyle w:val="Section"/>
      </w:pPr>
      <w:r>
        <w:t>2. Análise de 1989</w:t>
      </w:r>
    </w:p>
    <w:p>
      <w:pPr>
        <w:pStyle w:val="BodyA"/>
      </w:pPr>
      <w:r>
        <w:rPr>
          <w:b/>
        </w:rPr>
        <w:t xml:space="preserve">Principais fontes e usos. </w:t>
      </w:r>
      <w:r>
        <w:t>As principais fontes foram 353,1 de captação líquida de dívida, 94,1 da venda de ativos, 46,8 gerados pelas operações e 17,5 da emissão de ações. Os principais usos foram 303,6 em ativos depreciáveis, 59,5 em software capitalizado, 91,7 em amortização de dívida, 26,0 em dividendos e 18,8 em recompra de ações.</w:t>
      </w:r>
    </w:p>
    <w:p>
      <w:pPr>
        <w:pStyle w:val="BodyA"/>
      </w:pPr>
      <w:r>
        <w:rPr>
          <w:b/>
        </w:rPr>
        <w:t xml:space="preserve">Fluxo operacional versus resultado. </w:t>
      </w:r>
      <w:r>
        <w:t>O fluxo operacional de 46,8 foi superior ao prejuízo de 320,6 em 367,4. Considerando apenas operações continuadas, o caixa foi 76,5, diferença de 397,1 frente ao prejuízo. A reconciliação decorre principalmente de depreciação de 263,4 e itens de reestruturação de 125,3. Em sentido contrário, contas a receber consumiram 45,2, estoques consumiram 3,0, outros ativos circulantes consumiram 13,0 e outros ajustes consumiram 10,5. Contas a pagar e outros passivos circulantes geraram 41,0.</w:t>
      </w:r>
    </w:p>
    <w:p>
      <w:pPr>
        <w:pStyle w:val="BodyA"/>
      </w:pPr>
      <w:r>
        <w:rPr>
          <w:b/>
        </w:rPr>
        <w:t xml:space="preserve">Capex e dividendos. </w:t>
      </w:r>
      <w:r>
        <w:t>O fluxo operacional não cobriu os 303,6 investidos em ativos depreciáveis: houve déficit de 256,8. Incluindo dividendos de 26,0, a insuficiência sobe para 282,8. O déficit foi financiado principalmente pela emissão líquida de dívida, além da venda de ativos e da emissão de ações.</w:t>
      </w:r>
    </w:p>
    <w:p>
      <w:pPr>
        <w:pStyle w:val="BodyA"/>
      </w:pPr>
      <w:r>
        <w:rPr>
          <w:b/>
        </w:rPr>
        <w:t xml:space="preserve">Capital de giro e outros itens. </w:t>
      </w:r>
      <w:r>
        <w:t>As contas operacionais de capital de giro foram, em conjunto, uso líquido de aproximadamente 20,2. Outros itens relevantes foram o investimento de 59,5 em software e o uso de 29,7 por operações descontinuadas.</w:t>
      </w:r>
    </w:p>
    <w:p>
      <w:pPr>
        <w:pStyle w:val="Section"/>
      </w:pPr>
      <w:r>
        <w:t>3. Análise de 1990</w:t>
      </w:r>
    </w:p>
    <w:p>
      <w:pPr>
        <w:pStyle w:val="BodyA"/>
      </w:pPr>
      <w:r>
        <w:rPr>
          <w:b/>
        </w:rPr>
        <w:t xml:space="preserve">Principais fontes e usos. </w:t>
      </w:r>
      <w:r>
        <w:t>As principais fontes foram 407,3 obtidos com a venda de operações descontinuadas, 242,0 com venda de ativos, 167,7 de nova dívida de longo prazo e 89,3 das operações. Os principais usos foram 544,8 em amortização de dívida de longo prazo, 222,6 de redução de empréstimos de curto prazo, 174,4 em ativos depreciáveis, 43,1 em software e 7,2 em dividendos.</w:t>
      </w:r>
    </w:p>
    <w:p>
      <w:pPr>
        <w:pStyle w:val="BodyA"/>
      </w:pPr>
      <w:r>
        <w:rPr>
          <w:b/>
        </w:rPr>
        <w:t xml:space="preserve">Fluxo operacional versus resultado. </w:t>
      </w:r>
      <w:r>
        <w:t>O fluxo operacional de 89,3 superou o prejuízo de 623,5 em 712,8. Nas operações continuadas, o caixa de 85,8 ficou 709,3 acima do prejuízo. Os maiores ajustes positivos foram reestruturação de 384,1, depreciação de 220,1, redução de estoques de 100,9, redução de contas a receber de 73,4 e amortização de software de 58,2. O ganho de 119,0 na venda de investimentos e ativos foi retirado da reconciliação porque pertence ao fluxo de investimento.</w:t>
      </w:r>
    </w:p>
    <w:p>
      <w:pPr>
        <w:pStyle w:val="BodyA"/>
      </w:pPr>
      <w:r>
        <w:rPr>
          <w:b/>
        </w:rPr>
        <w:t xml:space="preserve">Capex e dividendos. </w:t>
      </w:r>
      <w:r>
        <w:t>O fluxo operacional não cobriu os 174,4 de investimento em ativos depreciáveis: faltaram 85,1. Incluindo dividendos de 7,2, a insuficiência foi de 92,3. A venda de ativos e, sobretudo, a venda de operações descontinuadas financiaram esse déficit e ainda permitiram forte redução de dívida.</w:t>
      </w:r>
    </w:p>
    <w:p>
      <w:pPr>
        <w:pStyle w:val="BodyA"/>
      </w:pPr>
      <w:r>
        <w:rPr>
          <w:b/>
        </w:rPr>
        <w:t xml:space="preserve">Capital de giro e outros itens. </w:t>
      </w:r>
      <w:r>
        <w:t>As contas de capital de giro geraram aproximadamente 151,8, sobretudo pela redução de estoques e contas a receber. A empresa realizou desinvestimentos significativos e apresentou captação líquida de dívida negativa em 599,7, evidenciando desalavancagem financiada por alienações.</w:t>
      </w:r>
    </w:p>
    <w:p>
      <w:pPr>
        <w:pStyle w:val="Section"/>
      </w:pPr>
      <w:r>
        <w:t>4. Análise de 1991</w:t>
      </w:r>
    </w:p>
    <w:p>
      <w:pPr>
        <w:pStyle w:val="BodyA"/>
      </w:pPr>
      <w:r>
        <w:rPr>
          <w:b/>
        </w:rPr>
        <w:t xml:space="preserve">Principais fontes e usos. </w:t>
      </w:r>
      <w:r>
        <w:t>As principais fontes foram 157,0 de venda de ativos, 125,2 das operações, 44,4 de nova dívida de longo prazo e 25,3 da venda de operações descontinuadas. Os principais usos foram 129,7 em ativos depreciáveis, 126,5 em amortização de dívida e 27,8 em software capitalizado.</w:t>
      </w:r>
    </w:p>
    <w:p>
      <w:pPr>
        <w:pStyle w:val="BodyA"/>
      </w:pPr>
      <w:r>
        <w:rPr>
          <w:b/>
        </w:rPr>
        <w:t xml:space="preserve">Fluxo operacional versus resultado. </w:t>
      </w:r>
      <w:r>
        <w:t>O fluxo operacional de 125,2 ficou 503,1 acima do prejuízo de 377,9. Nas operações continuadas, o caixa de 120,3 superou o prejuízo em 498,2. Os maiores ajustes positivos foram a redução de contas a receber de 160,8, depreciação de 168,4, reestruturação de 135,5, redução de estoques de 80,2 e amortização de software de 41,4. A redução de contas a pagar e outros passivos consumiu 91,3, enquanto o ganho de 16,6 na venda de ativos foi excluído do fluxo operacional.</w:t>
      </w:r>
    </w:p>
    <w:p>
      <w:pPr>
        <w:pStyle w:val="BodyA"/>
      </w:pPr>
      <w:r>
        <w:rPr>
          <w:b/>
        </w:rPr>
        <w:t xml:space="preserve">Capex e dividendos. </w:t>
      </w:r>
      <w:r>
        <w:t>O fluxo operacional ficou 4,5 abaixo dos 129,7 investidos em ativos depreciáveis. Como não houve dividendos, esse também foi o déficit conjunto. A necessidade foi facilmente coberta pela venda de ativos, mas a empresa continuou desinvestindo mais do que investindo.</w:t>
      </w:r>
    </w:p>
    <w:p>
      <w:pPr>
        <w:pStyle w:val="BodyA"/>
      </w:pPr>
      <w:r>
        <w:rPr>
          <w:b/>
        </w:rPr>
        <w:t xml:space="preserve">Capital de giro e outros itens. </w:t>
      </w:r>
      <w:r>
        <w:t>As contas de capital de giro geraram aproximadamente 166,7, principalmente pela conversão de contas a receber e estoques em caixa. A captação líquida de dívida foi negativa em 84,7, indicando nova redução do endividamento. A empresa terminou o ano com 233,2 em caixa, alta de 64,1.</w:t>
      </w:r>
    </w:p>
    <w:p>
      <w:pPr>
        <w:pStyle w:val="Section"/>
      </w:pPr>
      <w:r>
        <w:t>5. Tendências de 1989 a 1991</w:t>
      </w:r>
    </w:p>
    <w:p>
      <w:pPr>
        <w:pStyle w:val="BulletA"/>
      </w:pPr>
      <w:r>
        <w:t>Resultado: o prejuízo piorou de 320,6 em 1989 para 623,5 em 1990 e depois melhorou para 377,9 em 1991, sem alcançar lucro.</w:t>
      </w:r>
    </w:p>
    <w:p>
      <w:pPr>
        <w:pStyle w:val="BulletA"/>
      </w:pPr>
      <w:r>
        <w:t>Fluxo operacional: aumentou todos os anos, de 46,8 para 89,3 e 125,2.</w:t>
      </w:r>
    </w:p>
    <w:p>
      <w:pPr>
        <w:pStyle w:val="BulletA"/>
      </w:pPr>
      <w:r>
        <w:t>Investimentos em ativos depreciáveis: caíram continuamente, de 303,6 para 174,4 e 129,7.</w:t>
      </w:r>
    </w:p>
    <w:p>
      <w:pPr>
        <w:pStyle w:val="BulletA"/>
      </w:pPr>
      <w:r>
        <w:t>Dividendos: caíram de 26,0 para 7,2 e depois zero, preservando caixa.</w:t>
      </w:r>
    </w:p>
    <w:p>
      <w:pPr>
        <w:pStyle w:val="BulletA"/>
      </w:pPr>
      <w:r>
        <w:t>Captação líquida de dívida: passou de entrada de 353,1 em 1989 para saídas líquidas de 599,7 em 1990 e 84,7 em 1991.</w:t>
      </w:r>
    </w:p>
    <w:p>
      <w:pPr>
        <w:pStyle w:val="BulletA"/>
      </w:pPr>
      <w:r>
        <w:t>Capital de giro: passou de uso aproximado de 20,2 em 1989 para fontes de 151,8 em 1990 e 166,7 em 1991.</w:t>
      </w:r>
    </w:p>
    <w:p>
      <w:pPr>
        <w:pStyle w:val="Section"/>
      </w:pPr>
      <w:r>
        <w:t>6. Conclusão</w:t>
      </w:r>
    </w:p>
    <w:p>
      <w:pPr>
        <w:pStyle w:val="BodyA"/>
      </w:pPr>
      <w:r>
        <w:t>A evidência é mista. O lado positivo é a evolução do fluxo operacional, o aumento do caixa final e a redução do endividamento. O lado negativo é mais estrutural: a Alpha ainda registra prejuízos, reduz investimentos, interrompe dividendos e depende de desinvestimentos para financiar necessidades e pagar dívida. Além disso, grande parte do caixa operacional recente vem da redução de contas a receber e estoques, fonte que não pode se repetir indefinidamente. Assim, a empresa ganhou fôlego financeiro no curto prazo, mas sua força financeira de longo prazo depende de recuperar rentabilidade e gerar caixa por meio da operação recorrente, sem continuar vendendo ativos ou comprimindo investimentos.</w:t>
      </w:r>
    </w:p>
    <w:p>
      <w:pPr>
        <w:pStyle w:val="Section"/>
      </w:pPr>
      <w:r>
        <w:t>Fonte</w:t>
      </w:r>
    </w:p>
    <w:p>
      <w:pPr>
        <w:pStyle w:val="BodyA"/>
      </w:pPr>
      <w:r>
        <w:t>HERTENSTEIN, Julie H.; BRUNS, William J. Statements of Cash Flows: Three Examples. Harvard Business School, 1993. Exhibit 1 — Alpha Corporation.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Contabilidade Financeira — Caso Alfa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rPr>
      <w:rFonts w:ascii="Arial" w:hAnsi="Arial"/>
      <w:b/>
      <w:sz w:val="32"/>
    </w:rPr>
  </w:style>
  <w:style w:type="paragraph" w:customStyle="1" w:styleId="DocSub">
    <w:name w:val="DocSub"/>
    <w:basedOn w:val="Normal"/>
    <w:rPr>
      <w:rFonts w:ascii="Arial" w:hAnsi="Arial"/>
      <w:b/>
      <w:sz w:val="24"/>
    </w:rPr>
  </w:style>
  <w:style w:type="paragraph" w:customStyle="1" w:styleId="Section">
    <w:name w:val="Section"/>
    <w:basedOn w:val="Normal"/>
    <w:rPr>
      <w:rFonts w:ascii="Arial" w:hAnsi="Arial"/>
      <w:b/>
      <w:sz w:val="24"/>
    </w:rPr>
  </w:style>
  <w:style w:type="paragraph" w:customStyle="1" w:styleId="BodyA">
    <w:name w:val="BodyA"/>
    <w:basedOn w:val="Normal"/>
    <w:rPr>
      <w:rFonts w:ascii="Arial" w:hAnsi="Arial"/>
      <w:sz w:val="24"/>
    </w:rPr>
  </w:style>
  <w:style w:type="paragraph" w:customStyle="1" w:styleId="BulletA">
    <w:name w:val="BulletA"/>
    <w:basedOn w:val="ListBullet"/>
    <w:rPr>
      <w:rFonts w:ascii="Arial" w:hAnsi="Arial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