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line="320"/>
        <w:jc w:val="center"/>
      </w:pPr>
      <w:r>
        <w:rPr>
          <w:rFonts w:ascii="Times New Roman" w:cs="Times New Roman" w:eastAsia="Times New Roman" w:hAnsi="Times New Roman"/>
          <w:b/>
          <w:bCs/>
          <w:sz w:val="28"/>
          <w:szCs w:val="28"/>
        </w:rPr>
        <w:t xml:space="preserve">FUNDAÇÃO GETULIO VARGAS</w:t>
      </w:r>
    </w:p>
    <w:p>
      <w:pPr>
        <w:spacing w:after="200" w:line="320"/>
        <w:jc w:val="center"/>
      </w:pPr>
      <w:r>
        <w:rPr>
          <w:rFonts w:ascii="Times New Roman" w:cs="Times New Roman" w:eastAsia="Times New Roman" w:hAnsi="Times New Roman"/>
          <w:sz w:val="24"/>
          <w:szCs w:val="24"/>
        </w:rPr>
        <w:t xml:space="preserve">ESCOLA DE ADMINISTRAÇÃO DE EMPRESAS DE SÃO PAULO</w:t>
      </w:r>
    </w:p>
    <w:p>
      <w:pPr>
        <w:spacing w:after="1200" w:line="320"/>
        <w:jc w:val="center"/>
      </w:pPr>
      <w:r>
        <w:rPr>
          <w:rFonts w:ascii="Times New Roman" w:cs="Times New Roman" w:eastAsia="Times New Roman" w:hAnsi="Times New Roman"/>
          <w:i/>
          <w:iCs/>
          <w:sz w:val="24"/>
          <w:szCs w:val="24"/>
        </w:rPr>
        <w:t xml:space="preserve">Comportamento do Consumidor · Prof.ª Lilian Carvalho</w:t>
      </w:r>
    </w:p>
    <w:p>
      <w:pPr>
        <w:spacing w:after="280" w:line="320"/>
        <w:jc w:val="center"/>
      </w:pPr>
      <w:r>
        <w:rPr>
          <w:rFonts w:ascii="Times New Roman" w:cs="Times New Roman" w:eastAsia="Times New Roman" w:hAnsi="Times New Roman"/>
          <w:b/>
          <w:bCs/>
          <w:sz w:val="44"/>
          <w:szCs w:val="44"/>
        </w:rPr>
        <w:t xml:space="preserve">TRILHA DE ORIGEM</w:t>
      </w:r>
    </w:p>
    <w:p>
      <w:pPr>
        <w:spacing w:after="200" w:line="320"/>
        <w:jc w:val="center"/>
      </w:pPr>
      <w:r>
        <w:rPr>
          <w:rFonts w:ascii="Times New Roman" w:cs="Times New Roman" w:eastAsia="Times New Roman" w:hAnsi="Times New Roman"/>
          <w:i/>
          <w:iCs/>
          <w:sz w:val="28"/>
          <w:szCs w:val="28"/>
        </w:rPr>
        <w:t xml:space="preserve">Origem que se vê, registro que dispensa pedido</w:t>
      </w:r>
    </w:p>
    <w:p>
      <w:pPr>
        <w:spacing w:after="1200" w:line="320"/>
        <w:jc w:val="center"/>
      </w:pPr>
      <w:r>
        <w:rPr>
          <w:rFonts w:ascii="Times New Roman" w:cs="Times New Roman" w:eastAsia="Times New Roman" w:hAnsi="Times New Roman"/>
          <w:sz w:val="24"/>
          <w:szCs w:val="24"/>
        </w:rPr>
        <w:t xml:space="preserve">Estudo aplicado à marca Doces Devaneios de Sutil</w:t>
      </w:r>
    </w:p>
    <w:p>
      <w:pPr>
        <w:spacing w:after="160" w:line="320"/>
        <w:jc w:val="center"/>
      </w:pPr>
      <w:r>
        <w:rPr>
          <w:rFonts w:ascii="Times New Roman" w:cs="Times New Roman" w:eastAsia="Times New Roman" w:hAnsi="Times New Roman"/>
          <w:b/>
          <w:bCs/>
          <w:sz w:val="22"/>
          <w:szCs w:val="22"/>
        </w:rPr>
        <w:t xml:space="preserve">GRUPO</w:t>
      </w:r>
    </w:p>
    <w:p>
      <w:pPr>
        <w:spacing w:after="60" w:line="280"/>
        <w:jc w:val="center"/>
      </w:pPr>
      <w:r>
        <w:rPr>
          <w:rFonts w:ascii="Times New Roman" w:cs="Times New Roman" w:eastAsia="Times New Roman" w:hAnsi="Times New Roman"/>
          <w:sz w:val="22"/>
          <w:szCs w:val="22"/>
        </w:rPr>
        <w:t xml:space="preserve">Arthur Malucelli</w:t>
      </w:r>
    </w:p>
    <w:p>
      <w:pPr>
        <w:spacing w:after="60" w:line="280"/>
        <w:jc w:val="center"/>
      </w:pPr>
      <w:r>
        <w:rPr>
          <w:rFonts w:ascii="Times New Roman" w:cs="Times New Roman" w:eastAsia="Times New Roman" w:hAnsi="Times New Roman"/>
          <w:sz w:val="22"/>
          <w:szCs w:val="22"/>
        </w:rPr>
        <w:t xml:space="preserve">Caio Murari</w:t>
      </w:r>
    </w:p>
    <w:p>
      <w:pPr>
        <w:spacing w:after="60" w:line="280"/>
        <w:jc w:val="center"/>
      </w:pPr>
      <w:r>
        <w:rPr>
          <w:rFonts w:ascii="Times New Roman" w:cs="Times New Roman" w:eastAsia="Times New Roman" w:hAnsi="Times New Roman"/>
          <w:sz w:val="22"/>
          <w:szCs w:val="22"/>
        </w:rPr>
        <w:t xml:space="preserve">João Alvares</w:t>
      </w:r>
    </w:p>
    <w:p>
      <w:pPr>
        <w:spacing w:after="60" w:line="280"/>
        <w:jc w:val="center"/>
      </w:pPr>
      <w:r>
        <w:rPr>
          <w:rFonts w:ascii="Times New Roman" w:cs="Times New Roman" w:eastAsia="Times New Roman" w:hAnsi="Times New Roman"/>
          <w:sz w:val="22"/>
          <w:szCs w:val="22"/>
        </w:rPr>
        <w:t xml:space="preserve">João Paulo Bicudo</w:t>
      </w:r>
    </w:p>
    <w:p>
      <w:pPr>
        <w:spacing w:after="60" w:line="280"/>
        <w:jc w:val="center"/>
      </w:pPr>
      <w:r>
        <w:rPr>
          <w:rFonts w:ascii="Times New Roman" w:cs="Times New Roman" w:eastAsia="Times New Roman" w:hAnsi="Times New Roman"/>
          <w:sz w:val="22"/>
          <w:szCs w:val="22"/>
        </w:rPr>
        <w:t xml:space="preserve">João Pedro Humberg</w:t>
      </w:r>
    </w:p>
    <w:p>
      <w:pPr>
        <w:spacing w:after="60" w:line="280"/>
        <w:jc w:val="center"/>
      </w:pPr>
      <w:r>
        <w:rPr>
          <w:rFonts w:ascii="Times New Roman" w:cs="Times New Roman" w:eastAsia="Times New Roman" w:hAnsi="Times New Roman"/>
          <w:sz w:val="22"/>
          <w:szCs w:val="22"/>
        </w:rPr>
        <w:t xml:space="preserve">Joaquim Ramos</w:t>
      </w:r>
    </w:p>
    <w:p>
      <w:pPr>
        <w:spacing w:after="400" w:line="280"/>
        <w:jc w:val="center"/>
      </w:pPr>
      <w:r>
        <w:rPr>
          <w:rFonts w:ascii="Times New Roman" w:cs="Times New Roman" w:eastAsia="Times New Roman" w:hAnsi="Times New Roman"/>
          <w:sz w:val="22"/>
          <w:szCs w:val="22"/>
        </w:rPr>
        <w:t xml:space="preserve">Matheus Scigliano</w:t>
      </w:r>
    </w:p>
    <w:p>
      <w:pPr>
        <w:spacing w:after="60" w:before="400" w:line="280"/>
        <w:jc w:val="center"/>
      </w:pPr>
      <w:r>
        <w:rPr>
          <w:rFonts w:ascii="Times New Roman" w:cs="Times New Roman" w:eastAsia="Times New Roman" w:hAnsi="Times New Roman"/>
          <w:sz w:val="22"/>
          <w:szCs w:val="22"/>
        </w:rPr>
        <w:t xml:space="preserve">São Paulo</w:t>
      </w:r>
    </w:p>
    <w:p>
      <w:pPr>
        <w:spacing w:after="60" w:line="280"/>
        <w:jc w:val="center"/>
      </w:pPr>
      <w:r>
        <w:rPr>
          <w:rFonts w:ascii="Times New Roman" w:cs="Times New Roman" w:eastAsia="Times New Roman" w:hAnsi="Times New Roman"/>
          <w:sz w:val="22"/>
          <w:szCs w:val="22"/>
        </w:rPr>
        <w:t xml:space="preserve">Maio de 2026</w:t>
      </w:r>
    </w:p>
    <w:p>
      <w:r>
        <w:br w:type="page"/>
      </w:r>
    </w:p>
    <w:p>
      <w:pPr>
        <w:sectPr>
          <w:pgSz w:w="11906" w:h="16838" w:orient="portrait"/>
          <w:pgMar w:top="1701" w:right="1134" w:bottom="1134" w:left="1701" w:header="708" w:footer="708" w:gutter="0"/>
          <w:pgNumType/>
          <w:docGrid w:linePitch="360"/>
        </w:sectPr>
      </w:pPr>
    </w:p>
    <w:p>
      <w:pPr>
        <w:pStyle w:val="Heading1"/>
        <w:spacing w:after="240" w:before="480" w:line="360"/>
      </w:pPr>
      <w:r>
        <w:rPr>
          <w:rFonts w:ascii="Times New Roman" w:cs="Times New Roman" w:eastAsia="Times New Roman" w:hAnsi="Times New Roman"/>
          <w:b/>
          <w:bCs/>
          <w:sz w:val="28"/>
          <w:szCs w:val="28"/>
        </w:rPr>
        <w:t xml:space="preserve">1. Introdução</w:t>
      </w:r>
    </w:p>
    <w:p>
      <w:pPr>
        <w:spacing w:after="120" w:line="360"/>
        <w:ind w:firstLine="567"/>
        <w:jc w:val="both"/>
      </w:pPr>
      <w:r>
        <w:rPr>
          <w:rFonts w:ascii="Times New Roman" w:cs="Times New Roman" w:eastAsia="Times New Roman" w:hAnsi="Times New Roman"/>
          <w:sz w:val="24"/>
          <w:szCs w:val="24"/>
        </w:rPr>
        <w:t xml:space="preserve">A confeitaria autoral brasileira tem ocupado, na última década, um nicho premium ligado a três deslocamentos do consumo: a valorização do produto local, a busca por experiências gastronômicas com narrativa e a sofisticação estética do consumo cotidiano. Doces Devaneios de Sutil opera dentro desse recorte. A marca une brasilidade, responsabilidade socioambiental, narrativa e produto como experiência cultural, com ticket inicial a partir de R$ 64,90. O posicionamento é claro, e o caso entregue pela docente descreve com nitidez a identidade da marca. A pergunta operacional, porém, permanece em aberto: como traduzir esse posicionamento em comportamento real de consumo recorrente entre um público que declara compartilhar dos valores da marca, mas nem sempre age sobre eles.</w:t>
      </w:r>
    </w:p>
    <w:p>
      <w:pPr>
        <w:spacing w:after="120" w:line="360"/>
        <w:ind w:firstLine="567"/>
        <w:jc w:val="both"/>
      </w:pPr>
      <w:r>
        <w:rPr>
          <w:rFonts w:ascii="Times New Roman" w:cs="Times New Roman" w:eastAsia="Times New Roman" w:hAnsi="Times New Roman"/>
          <w:sz w:val="24"/>
          <w:szCs w:val="24"/>
        </w:rPr>
        <w:t xml:space="preserve">Dentro dos seis temas propostos no briefing, o grupo escolheu trabalhar o Consumo Consciente. A escolha derivou de uma tensão observada em campo. O consumidor jovem de alta renda em São Paulo declara importar-se com sustentabilidade, autoria e transparência, mas no momento de compra prioriza sabor, estética e conveniência. Essa diferença entre intenção declarada e comportamento efetivo é descrita por Solomon (2016) como gap atitude-comportamento, fenômeno que limita a tradução de valores em ato de compra. O objetivo do trabalho é desenhar uma intervenção que feche esse gap para a Devaneios de Sutil, atendendo simultaneamente aos três objetivos do briefing: aumentar a receita da empresa, ampliar o conhecimento de marca entre o público-alvo e consolidar a associação entre marca e seus valores.</w:t>
      </w:r>
    </w:p>
    <w:p>
      <w:pPr>
        <w:spacing w:after="120" w:line="360"/>
        <w:ind w:firstLine="567"/>
        <w:jc w:val="both"/>
      </w:pPr>
      <w:r>
        <w:rPr>
          <w:rFonts w:ascii="Times New Roman" w:cs="Times New Roman" w:eastAsia="Times New Roman" w:hAnsi="Times New Roman"/>
          <w:sz w:val="24"/>
          <w:szCs w:val="24"/>
        </w:rPr>
        <w:t xml:space="preserve">O público-alvo escolhido é jovens universitários de alta renda residentes em São Paulo, entre 17 e 24 anos, estudantes de faculdades privadas, com presença ativa em redes sociais. A escolha não foi feita por critério demográfico, mas por estilo de vida e padrão de consumo, como o briefing sugere. A justificativa apoia-se em três pilares. O primeiro é o poder aquisitivo. O ticket inicial de R$ 64,90 exige que o público tenha margem para tratar o doce como item de afeto, não de necessidade, o que esse recorte oferece de forma consistente. O segundo é o repertório cultural. Esse público cresceu em contato com debates públicos sobre crise climática, comércio justo e impacto socioambiental, o que torna o discurso de sustentabilidade um repertório familiar e, ao mesmo tempo, descontado por excesso de exposição. O terceiro é o consumo digital intenso. O Instagram concentra a descoberta de marcas, e cada cliente atua como vetor potencial de divulgação orgânica, multiplicando o alcance da marca por baixo investimento direto em mídia.</w:t>
      </w:r>
    </w:p>
    <w:p>
      <w:pPr>
        <w:spacing w:after="120" w:line="360"/>
        <w:ind w:firstLine="567"/>
        <w:jc w:val="both"/>
      </w:pPr>
      <w:r>
        <w:rPr>
          <w:rFonts w:ascii="Times New Roman" w:cs="Times New Roman" w:eastAsia="Times New Roman" w:hAnsi="Times New Roman"/>
          <w:sz w:val="24"/>
          <w:szCs w:val="24"/>
        </w:rPr>
        <w:t xml:space="preserve">Ao longo das próximas seções, o relatório percorre as cinco fases do Design Thinking aplicadas a esse desafio, sustenta o protótipo escolhido na teoria de comportamento do consumidor abordada em aula e apresenta as evidências empíricas que justificam a viabilidade da proposta.</w:t>
      </w:r>
    </w:p>
    <w:p>
      <w:pPr>
        <w:pStyle w:val="Heading1"/>
        <w:spacing w:after="240" w:before="480" w:line="360"/>
      </w:pPr>
      <w:r>
        <w:rPr>
          <w:rFonts w:ascii="Times New Roman" w:cs="Times New Roman" w:eastAsia="Times New Roman" w:hAnsi="Times New Roman"/>
          <w:b/>
          <w:bCs/>
          <w:sz w:val="28"/>
          <w:szCs w:val="28"/>
        </w:rPr>
        <w:t xml:space="preserve">2. Design Thinking</w:t>
      </w:r>
    </w:p>
    <w:p>
      <w:pPr>
        <w:spacing w:after="120" w:line="360"/>
        <w:ind w:firstLine="567"/>
        <w:jc w:val="both"/>
      </w:pPr>
      <w:r>
        <w:rPr>
          <w:rFonts w:ascii="Times New Roman" w:cs="Times New Roman" w:eastAsia="Times New Roman" w:hAnsi="Times New Roman"/>
          <w:sz w:val="24"/>
          <w:szCs w:val="24"/>
        </w:rPr>
        <w:t xml:space="preserve">A metodologia adotada segue as cinco fases do Design Thinking conforme Brown (2010) e o detalhamento operacional de Vianna et al. (2012): Empatia, Definição, Ideação, Prototipagem e Teste. Cada fase é descrita a seguir, com o que o grupo executou, os instrumentos utilizados e os achados que sustentam a fase seguinte.</w:t>
      </w:r>
    </w:p>
    <w:p>
      <w:pPr>
        <w:pStyle w:val="Heading2"/>
        <w:spacing w:after="200" w:before="360" w:line="360"/>
      </w:pPr>
      <w:r>
        <w:rPr>
          <w:rFonts w:ascii="Times New Roman" w:cs="Times New Roman" w:eastAsia="Times New Roman" w:hAnsi="Times New Roman"/>
          <w:b/>
          <w:bCs/>
          <w:sz w:val="26"/>
          <w:szCs w:val="26"/>
        </w:rPr>
        <w:t xml:space="preserve">2.1 Empatia</w:t>
      </w:r>
    </w:p>
    <w:p>
      <w:pPr>
        <w:pStyle w:val="Heading3"/>
        <w:spacing w:after="160" w:before="240" w:line="360"/>
      </w:pPr>
      <w:r>
        <w:rPr>
          <w:rFonts w:ascii="Times New Roman" w:cs="Times New Roman" w:eastAsia="Times New Roman" w:hAnsi="Times New Roman"/>
          <w:b/>
          <w:bCs/>
          <w:i/>
          <w:iCs/>
          <w:sz w:val="24"/>
          <w:szCs w:val="24"/>
        </w:rPr>
        <w:t xml:space="preserve">(a) Metodologia</w:t>
      </w:r>
    </w:p>
    <w:p>
      <w:pPr>
        <w:spacing w:after="120" w:line="360"/>
        <w:ind w:firstLine="567"/>
        <w:jc w:val="both"/>
      </w:pPr>
      <w:r>
        <w:rPr>
          <w:rFonts w:ascii="Times New Roman" w:cs="Times New Roman" w:eastAsia="Times New Roman" w:hAnsi="Times New Roman"/>
          <w:sz w:val="24"/>
          <w:szCs w:val="24"/>
        </w:rPr>
        <w:t xml:space="preserve">A fase de Empatia foi desenhada com dois objetivos. O primeiro, aproximar o grupo da realidade vivida do público-alvo. O segundo, identificar onde nasce o gap entre o que esse consumidor diz que valoriza e o que efetivamente faz na hora da compra. O instrumento principal foi a entrevista em profundidade, escolha apoiada em Solomon (2016), que recomenda a técnica quando o pesquisador busca acessar motivações, racionalizações e contradições que questionários estruturados costumam suprimir.</w:t>
      </w:r>
    </w:p>
    <w:p>
      <w:pPr>
        <w:spacing w:after="120" w:line="360"/>
        <w:ind w:firstLine="567"/>
        <w:jc w:val="both"/>
      </w:pPr>
      <w:r>
        <w:rPr>
          <w:rFonts w:ascii="Times New Roman" w:cs="Times New Roman" w:eastAsia="Times New Roman" w:hAnsi="Times New Roman"/>
          <w:sz w:val="24"/>
          <w:szCs w:val="24"/>
        </w:rPr>
        <w:t xml:space="preserve">Foram conduzidas 14 entrevistas, entre 18 e 25 de março de 2026, das quais 13 foram aproveitadas na análise (uma foi descartada por baixa qualidade de áudio). Parte das conversas aconteceu presencialmente no campus da FGV, em pátio, cantina e áreas de estudo, e parte foi realizada virtualmente, por chamada de vídeo, para entrevistados externos à faculdade. Cada integrante do grupo conduziu pelo menos duas entrevistas, o que diversificou o estilo de condução e reduziu viés de entrevistador. As entrevistas duraram entre 1 minuto e 10 segundos e 5 minutos e 24 segundos, com mediana próxima a 3 minutos.</w:t>
      </w:r>
    </w:p>
    <w:p>
      <w:pPr>
        <w:spacing w:after="120" w:line="360"/>
        <w:ind w:firstLine="567"/>
        <w:jc w:val="both"/>
      </w:pPr>
      <w:r>
        <w:rPr>
          <w:rFonts w:ascii="Times New Roman" w:cs="Times New Roman" w:eastAsia="Times New Roman" w:hAnsi="Times New Roman"/>
          <w:sz w:val="24"/>
          <w:szCs w:val="24"/>
        </w:rPr>
        <w:t xml:space="preserve">O roteiro foi composto por 9 perguntas abertas, apresentado integralmente no Anexo I deste relatório. Uma decisão metodológica importante: o nome Devaneios de Sutil não foi revelado em momento algum durante a entrevista. A intenção foi evitar que o entrevistado projetasse expectativas sobre a marca antes de expressar suas próprias preferências de consumo. As perguntas exploraram a frequência de consumo de doces fora de casa, os critérios de escolha entre doces, a preferência entre artesanal e industrial, a influência da origem dos ingredientes, a disposição a pagar mais por sustentabilidade, os canais de descoberta de marcas, e a expectativa diante da expressão 'doces além da confeitaria'. O perfil de cada entrevistado e a identificação do respectivo entrevistador estão sintetizados no Anexo II.</w:t>
      </w:r>
    </w:p>
    <w:p>
      <w:pPr>
        <w:spacing w:after="120" w:line="360"/>
        <w:ind w:firstLine="567"/>
        <w:jc w:val="both"/>
      </w:pPr>
      <w:r>
        <w:rPr>
          <w:rFonts w:ascii="Times New Roman" w:cs="Times New Roman" w:eastAsia="Times New Roman" w:hAnsi="Times New Roman"/>
          <w:sz w:val="24"/>
          <w:szCs w:val="24"/>
        </w:rPr>
        <w:t xml:space="preserve">As entrevistas foram registradas em áudio, com consentimento dos participantes, e transcritas para análise posterior. A análise se deu em duas frentes paralelas. A primeira, leitura cruzada das transcrições para identificação de padrões e contradições. A segunda, observação de campo no pátio da FGV durante os horários de maior fluxo, para registrar o comportamento real de consumo de doces e o uso espontâneo de redes sociais em torno dele.</w:t>
      </w:r>
    </w:p>
    <w:p>
      <w:pPr>
        <w:pStyle w:val="Heading3"/>
        <w:spacing w:after="160" w:before="240" w:line="360"/>
      </w:pPr>
      <w:r>
        <w:rPr>
          <w:rFonts w:ascii="Times New Roman" w:cs="Times New Roman" w:eastAsia="Times New Roman" w:hAnsi="Times New Roman"/>
          <w:b/>
          <w:bCs/>
          <w:i/>
          <w:iCs/>
          <w:sz w:val="24"/>
          <w:szCs w:val="24"/>
        </w:rPr>
        <w:t xml:space="preserve">(b) Análise das entrevistas</w:t>
      </w:r>
    </w:p>
    <w:p>
      <w:pPr>
        <w:spacing w:after="60" w:line="360"/>
        <w:ind w:firstLine="567"/>
        <w:jc w:val="both"/>
      </w:pPr>
      <w:r>
        <w:rPr>
          <w:rFonts w:ascii="Times New Roman" w:cs="Times New Roman" w:eastAsia="Times New Roman" w:hAnsi="Times New Roman"/>
          <w:sz w:val="24"/>
          <w:szCs w:val="24"/>
        </w:rPr>
        <w:t xml:space="preserve">A análise consolidou os achados em um Mapa de Empatia, ferramenta proposta por Osterwalder e Pigneur (2011) e amplamente utilizada na fase de Empatia do Design Thinking. O mapa é apresentado na Tabela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tblHeader/>
        </w:trPr>
        <w:tc>
          <w:tcPr>
            <w:tcW w:type="dxa" w:w="2200"/>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Quadrante</w:t>
            </w:r>
          </w:p>
        </w:tc>
        <w:tc>
          <w:tcPr>
            <w:tcW w:type="dxa" w:w="6871"/>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Achados consolidados</w:t>
            </w:r>
          </w:p>
        </w:tc>
      </w:tr>
      <w:tr>
        <w:tc>
          <w:tcPr>
            <w:tcW w:type="dxa" w:w="22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bCs/>
                <w:sz w:val="22"/>
                <w:szCs w:val="22"/>
              </w:rPr>
              <w:t xml:space="preserve">O que vê</w:t>
            </w:r>
          </w:p>
        </w:tc>
        <w:tc>
          <w:tcPr>
            <w:tcW w:type="dxa" w:w="6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Feed do Instagram saturado de confeitarias autorais. Amigos comemorando datas especiais. Tendências de consumo consciente atravessando categorias de moda, alimentação e cosméticos.</w:t>
            </w:r>
          </w:p>
        </w:tc>
      </w:tr>
      <w:tr>
        <w:tc>
          <w:tcPr>
            <w:tcW w:type="dxa" w:w="22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bCs/>
                <w:sz w:val="22"/>
                <w:szCs w:val="22"/>
              </w:rPr>
              <w:t xml:space="preserve">O que pensa e sente</w:t>
            </w:r>
          </w:p>
        </w:tc>
        <w:tc>
          <w:tcPr>
            <w:tcW w:type="dxa" w:w="6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Sabor e qualidade são pilares inegociáveis. Sustentabilidade entra como valor declarado para uma parcela, mas convive com ceticismo em relação ao discurso de marca. Equipara artesanal a qualidade superior.</w:t>
            </w:r>
          </w:p>
        </w:tc>
      </w:tr>
      <w:tr>
        <w:tc>
          <w:tcPr>
            <w:tcW w:type="dxa" w:w="22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bCs/>
                <w:sz w:val="22"/>
                <w:szCs w:val="22"/>
              </w:rPr>
              <w:t xml:space="preserve">O que ouve</w:t>
            </w:r>
          </w:p>
        </w:tc>
        <w:tc>
          <w:tcPr>
            <w:tcW w:type="dxa" w:w="6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Indicações de amigos e algoritmos de redes sociais dominam o ciclo de descoberta. Experiências passadas guiam escolhas. Sustentabilidade aparece em conversas, mas raramente como argumento de compra final.</w:t>
            </w:r>
          </w:p>
        </w:tc>
      </w:tr>
      <w:tr>
        <w:tc>
          <w:tcPr>
            <w:tcW w:type="dxa" w:w="22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bCs/>
                <w:sz w:val="22"/>
                <w:szCs w:val="22"/>
              </w:rPr>
              <w:t xml:space="preserve">O que faz e diz</w:t>
            </w:r>
          </w:p>
        </w:tc>
        <w:tc>
          <w:tcPr>
            <w:tcW w:type="dxa" w:w="6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Apoia confeiteiros autorais sobretudo por indicação direta. Consome doces fora 2 a 3 vezes por semana. Prioriza explicitamente sabor e visual fotografável.</w:t>
            </w:r>
          </w:p>
        </w:tc>
      </w:tr>
      <w:tr>
        <w:tc>
          <w:tcPr>
            <w:tcW w:type="dxa" w:w="22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bCs/>
                <w:sz w:val="22"/>
                <w:szCs w:val="22"/>
              </w:rPr>
              <w:t xml:space="preserve">Dores</w:t>
            </w:r>
          </w:p>
        </w:tc>
        <w:tc>
          <w:tcPr>
            <w:tcW w:type="dxa" w:w="6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Dificuldade em achar presentes significativos. Desconfia de marcas que se dizem sustentáveis sem evidência verificável. Preço premium difícil de justificar sem percepção clara de valor.</w:t>
            </w:r>
          </w:p>
        </w:tc>
      </w:tr>
      <w:tr>
        <w:tc>
          <w:tcPr>
            <w:tcW w:type="dxa" w:w="22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bCs/>
                <w:sz w:val="22"/>
                <w:szCs w:val="22"/>
              </w:rPr>
              <w:t xml:space="preserve">Necessidades</w:t>
            </w:r>
          </w:p>
        </w:tc>
        <w:tc>
          <w:tcPr>
            <w:tcW w:type="dxa" w:w="6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Produto visualmente marcante e fotografável. Transparência real de ingredientes, origem e história, não apenas discurso. Ao ouvir 'doces além da confeitaria', espera propósito social associado a qualidade superior.</w:t>
            </w:r>
          </w:p>
        </w:tc>
      </w:tr>
    </w:tbl>
    <w:p>
      <w:pPr>
        <w:spacing w:after="200" w:before="120"/>
        <w:jc w:val="center"/>
      </w:pPr>
      <w:r>
        <w:rPr>
          <w:rFonts w:ascii="Times New Roman" w:cs="Times New Roman" w:eastAsia="Times New Roman" w:hAnsi="Times New Roman"/>
          <w:i/>
          <w:iCs/>
          <w:sz w:val="20"/>
          <w:szCs w:val="20"/>
        </w:rPr>
        <w:t xml:space="preserve">Tabela 1. Mapa de Empatia consolidado das 13 entrevistas em profundidade.</w:t>
      </w:r>
    </w:p>
    <w:p>
      <w:pPr>
        <w:spacing w:after="120" w:line="360"/>
        <w:ind w:firstLine="567"/>
        <w:jc w:val="both"/>
      </w:pPr>
      <w:r>
        <w:rPr>
          <w:rFonts w:ascii="Times New Roman" w:cs="Times New Roman" w:eastAsia="Times New Roman" w:hAnsi="Times New Roman"/>
          <w:sz w:val="24"/>
          <w:szCs w:val="24"/>
        </w:rPr>
        <w:t xml:space="preserve">Da análise emergiram cinco padrões com implicações diretas para a fase seguinte. O primeiro, sustentabilidade divide o público. Aproximadamente 46% dos entrevistados a valorizam fortemente, enquanto 54% se mostram indiferentes ou cínicos em relação ao tema. A leitura é clara: a marca não pode tratar sustentabilidade como gatilho universal de compra. O segundo, há disposição a pagar premium por sustentabilidade, mas é condicional. Maria pagaria 50% a mais e Bernardo 30% a mais, ambos apenas mediante transparência verificável sobre ingredientes e origem. Sem evidência, o premium vira motivo de ceticismo, não de adesão. O terceiro, sabor, qualidade percebida e estética são universais, atravessando inclusive os perfis indiferentes à sustentabilidade. São o decisor real da compra. O quarto, o Instagram domina como canal de descoberta, citado espontaneamente por 8 dos 13 entrevistados, seguido por indicação de amigos. O quinto, e talvez mais importante, o compartilhamento orgânico é seletivo. Diversos entrevistados afirmaram explicitamente que não postariam doces nas redes a menos que fossem pagos para isso, o que mostra que estratégias do tipo 'consumidor como divulgador' precisam remover atrito, não confiar no impulso espontâneo.</w:t>
      </w:r>
    </w:p>
    <w:p>
      <w:pPr>
        <w:pStyle w:val="Heading2"/>
        <w:spacing w:after="200" w:before="360" w:line="360"/>
      </w:pPr>
      <w:r>
        <w:rPr>
          <w:rFonts w:ascii="Times New Roman" w:cs="Times New Roman" w:eastAsia="Times New Roman" w:hAnsi="Times New Roman"/>
          <w:b/>
          <w:bCs/>
          <w:sz w:val="26"/>
          <w:szCs w:val="26"/>
        </w:rPr>
        <w:t xml:space="preserve">2.2 Declaração do Problema</w:t>
      </w:r>
    </w:p>
    <w:p>
      <w:pPr>
        <w:spacing w:after="60" w:line="360"/>
        <w:ind w:firstLine="567"/>
        <w:jc w:val="both"/>
      </w:pPr>
      <w:r>
        <w:rPr>
          <w:rFonts w:ascii="Times New Roman" w:cs="Times New Roman" w:eastAsia="Times New Roman" w:hAnsi="Times New Roman"/>
          <w:sz w:val="24"/>
          <w:szCs w:val="24"/>
        </w:rPr>
        <w:t xml:space="preserve">A partir dos padrões observados, o grupo formulou a declaração do problema no formato canônico do Design Thinking, apresentado no briefing. A Tabela 2 sintetiza público-alvo, necessidade e insight central.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71"/>
      </w:tblGrid>
      <w:tr>
        <w:trPr>
          <w:tblHeader/>
        </w:trPr>
        <w:tc>
          <w:tcPr>
            <w:tcW w:type="dxa" w:w="2400"/>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2"/>
                <w:szCs w:val="22"/>
              </w:rPr>
              <w:t xml:space="preserve">Público-alvo</w:t>
            </w:r>
          </w:p>
        </w:tc>
        <w:tc>
          <w:tcPr>
            <w:tcW w:type="dxa" w:w="3200"/>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2"/>
                <w:szCs w:val="22"/>
              </w:rPr>
              <w:t xml:space="preserve">Necessidade (precisa de uma maneira de…)</w:t>
            </w:r>
          </w:p>
        </w:tc>
        <w:tc>
          <w:tcPr>
            <w:tcW w:type="dxa" w:w="3471"/>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2"/>
                <w:szCs w:val="22"/>
              </w:rPr>
              <w:t xml:space="preserve">Insight (por quê?)</w:t>
            </w:r>
          </w:p>
        </w:tc>
      </w:tr>
      <w:tr>
        <w:tc>
          <w:tcPr>
            <w:tcW w:type="dxa" w:w="2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Jovens universitários de alta renda em São Paulo, 17 a 24 anos, estudantes de faculdades privadas, ativos no Instagram.</w:t>
            </w:r>
          </w:p>
        </w:tc>
        <w:tc>
          <w:tcPr>
            <w:tcW w:type="dxa" w:w="32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Converter sua intenção declarada de consumir com consciência em comportamento real, e justificar para si e para os pares o preço premium de uma confeitaria autoral.</w:t>
            </w:r>
          </w:p>
        </w:tc>
        <w:tc>
          <w:tcPr>
            <w:tcW w:type="dxa" w:w="34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Esse consumidor já aprendeu a descontar discursos genéricos de sustentabilidade e prioriza sabor e estética na decisão final. O premium só se sustenta quando a marca substitui discurso por prova verificável, e quando o ato de divulgar acontece sem que ela peça.</w:t>
            </w:r>
          </w:p>
        </w:tc>
      </w:tr>
    </w:tbl>
    <w:p>
      <w:pPr>
        <w:spacing w:after="200" w:before="120"/>
        <w:jc w:val="center"/>
      </w:pPr>
      <w:r>
        <w:rPr>
          <w:rFonts w:ascii="Times New Roman" w:cs="Times New Roman" w:eastAsia="Times New Roman" w:hAnsi="Times New Roman"/>
          <w:i/>
          <w:iCs/>
          <w:sz w:val="20"/>
          <w:szCs w:val="20"/>
        </w:rPr>
        <w:t xml:space="preserve">Tabela 2. Declaração do Problema.</w:t>
      </w:r>
    </w:p>
    <w:p>
      <w:pPr>
        <w:pStyle w:val="Heading2"/>
        <w:spacing w:after="200" w:before="360" w:line="360"/>
      </w:pPr>
      <w:r>
        <w:rPr>
          <w:rFonts w:ascii="Times New Roman" w:cs="Times New Roman" w:eastAsia="Times New Roman" w:hAnsi="Times New Roman"/>
          <w:b/>
          <w:bCs/>
          <w:sz w:val="26"/>
          <w:szCs w:val="26"/>
        </w:rPr>
        <w:t xml:space="preserve">2.3 Ideação</w:t>
      </w:r>
    </w:p>
    <w:p>
      <w:pPr>
        <w:spacing w:after="120" w:line="360"/>
        <w:ind w:firstLine="567"/>
        <w:jc w:val="both"/>
      </w:pPr>
      <w:r>
        <w:rPr>
          <w:rFonts w:ascii="Times New Roman" w:cs="Times New Roman" w:eastAsia="Times New Roman" w:hAnsi="Times New Roman"/>
          <w:sz w:val="24"/>
          <w:szCs w:val="24"/>
        </w:rPr>
        <w:t xml:space="preserve">A partir da declaração do problema, o grupo formulou três perguntas How Might We que organizaram a divergência da fase de Ideação. A primeira, como poderíamos transformar a desconfiança em relação ao discurso de sustentabilidade em experiência de prova verificável? A segunda, como poderíamos ancorar o preço premium em algo que o consumidor possa ver, tocar ou compartilhar antes mesmo de provar? A terceira, como poderíamos fazer com que o registro nas redes aconteça sem que a marca precise pedir?</w:t>
      </w:r>
    </w:p>
    <w:p>
      <w:pPr>
        <w:pStyle w:val="Heading3"/>
        <w:spacing w:after="160" w:before="240" w:line="360"/>
      </w:pPr>
      <w:r>
        <w:rPr>
          <w:rFonts w:ascii="Times New Roman" w:cs="Times New Roman" w:eastAsia="Times New Roman" w:hAnsi="Times New Roman"/>
          <w:b/>
          <w:bCs/>
          <w:i/>
          <w:iCs/>
          <w:sz w:val="24"/>
          <w:szCs w:val="24"/>
        </w:rPr>
        <w:t xml:space="preserve">Ações de marketing usadas como inspiração</w:t>
      </w:r>
    </w:p>
    <w:p>
      <w:pPr>
        <w:spacing w:after="120" w:line="360"/>
        <w:ind w:firstLine="567"/>
        <w:jc w:val="both"/>
      </w:pPr>
      <w:r>
        <w:rPr>
          <w:rFonts w:ascii="Times New Roman" w:cs="Times New Roman" w:eastAsia="Times New Roman" w:hAnsi="Times New Roman"/>
          <w:sz w:val="24"/>
          <w:szCs w:val="24"/>
        </w:rPr>
        <w:t xml:space="preserve">Três casos guiaram a divergência inicial. O primeiro, o Patagonia Footprint Chronicles, iniciativa da marca que mostra em vídeo a cadeia de fornecedores de cada peça comercializada. A inspiração: transparência radical reduz ceticismo de forma mais durável do que selos de certificação, porque o cliente vê o argumento em vez de receber uma promessa. O segundo, o cenário fotográfico fixo montado no Museu do Ipiranga após a reabertura, em 2022, que multiplicou as postagens orgânicas dos visitantes sem investimento em mídia paga. A leitura: cenários prontos viralizam por baixo atrito, porque o visitante já queria postar, mas não tinha onde. O terceiro, as caixas com QR de origem da Café Cultura, que abrem para vídeo curto do produtor de cada grão. Confirmou que o QR aplicado a alimento ganha confiança quando o conteúdo é específico, curto e tem rosto, e perde confiança quando é genérico ou promocional.</w:t>
      </w:r>
    </w:p>
    <w:p>
      <w:pPr>
        <w:pStyle w:val="Heading3"/>
        <w:spacing w:after="160" w:before="240" w:line="360"/>
      </w:pPr>
      <w:r>
        <w:rPr>
          <w:rFonts w:ascii="Times New Roman" w:cs="Times New Roman" w:eastAsia="Times New Roman" w:hAnsi="Times New Roman"/>
          <w:b/>
          <w:bCs/>
          <w:i/>
          <w:iCs/>
          <w:sz w:val="24"/>
          <w:szCs w:val="24"/>
        </w:rPr>
        <w:t xml:space="preserve">Processo de ideação e três ideias finais</w:t>
      </w:r>
    </w:p>
    <w:p>
      <w:pPr>
        <w:spacing w:after="120" w:line="360"/>
        <w:ind w:firstLine="567"/>
        <w:jc w:val="both"/>
      </w:pPr>
      <w:r>
        <w:rPr>
          <w:rFonts w:ascii="Times New Roman" w:cs="Times New Roman" w:eastAsia="Times New Roman" w:hAnsi="Times New Roman"/>
          <w:sz w:val="24"/>
          <w:szCs w:val="24"/>
        </w:rPr>
        <w:t xml:space="preserve">O processo de ideação combinou três métodos em sequência: Brainstorming livre com toda a equipe, How Might We aplicado sobre cada dor mapeada na Empatia, e SCAMPER sobre o produto core. O resultado foi um total de 15 ideias consolidadas, submetidas a uma matriz de priorização com cinco critérios ponderados: aderência ao problema (peso 30%), impacto comportamental (peso 25%), viabilidade operacional (peso 20%), alinhamento de marca (peso 15%) e potencial de compartilhamento (peso 10%). Os três maiores scores foram, em ordem decrescente: Passaporte de Origem, com score 4,70; Impacto Rastreável por Compra, com score 4,50; e Studio de Origem, com score 4,30.</w:t>
      </w:r>
    </w:p>
    <w:p>
      <w:pPr>
        <w:spacing w:after="120" w:line="360"/>
        <w:ind w:firstLine="567"/>
        <w:jc w:val="both"/>
      </w:pPr>
      <w:r>
        <w:rPr>
          <w:rFonts w:ascii="Times New Roman" w:cs="Times New Roman" w:eastAsia="Times New Roman" w:hAnsi="Times New Roman"/>
          <w:sz w:val="24"/>
          <w:szCs w:val="24"/>
        </w:rPr>
        <w:t xml:space="preserve">A Ideia 01, Passaporte de Origem, propõe que cada produto traga um QR code no hangtag da embalagem, abrindo um vídeo curto, de 30 a 45 segundos, com o produtor real do ingrediente principal. Mostra rosto, fazenda ou oficina, variedade, distância da fábrica e mês de colheita. A Ideia 02, Impacto Rastreável por Compra, propõe que cada compra dispare um impacto específico e visível no recibo digital, como uma árvore plantada em área de cultivo, uma hora de trabalho justo remunerada ou uma quantidade de resíduo evitado. A Ideia 03, Studio de Origem, propõe um cenário fotográfico fixo no ponto de venda, com backdrop em papel cream, ring light morno e props curados, permitindo que o cliente registre o produto antes de consumir, sem que a marca peça.</w:t>
      </w:r>
    </w:p>
    <w:p>
      <w:pPr>
        <w:pStyle w:val="Heading3"/>
        <w:spacing w:after="160" w:before="240" w:line="360"/>
      </w:pPr>
      <w:r>
        <w:rPr>
          <w:rFonts w:ascii="Times New Roman" w:cs="Times New Roman" w:eastAsia="Times New Roman" w:hAnsi="Times New Roman"/>
          <w:b/>
          <w:bCs/>
          <w:i/>
          <w:iCs/>
          <w:sz w:val="24"/>
          <w:szCs w:val="24"/>
        </w:rPr>
        <w:t xml:space="preserve">Ideia selecionada e justificativa</w:t>
      </w:r>
    </w:p>
    <w:p>
      <w:pPr>
        <w:spacing w:after="120" w:line="360"/>
        <w:ind w:firstLine="567"/>
        <w:jc w:val="both"/>
      </w:pPr>
      <w:r>
        <w:rPr>
          <w:rFonts w:ascii="Times New Roman" w:cs="Times New Roman" w:eastAsia="Times New Roman" w:hAnsi="Times New Roman"/>
          <w:sz w:val="24"/>
          <w:szCs w:val="24"/>
        </w:rPr>
        <w:t xml:space="preserve">O grupo escolheu integrar as Ideias 01 e 03 em uma proposta única, batizada Trilha de Origem. A escolha tem três sustentações. A primeira, complementaridade de dores. As duas ideias atacam dores diferentes da mesma persona. O Passaporte resolve a desconfiança em relação ao discurso, substituindo afirmação por evidência. O Studio resolve o atrito do compartilhamento, substituindo pedido por cenário pronto. Cada compra atravessa as duas etapas em ordem natural (recebe a caixa, escaneia o QR, conhece a produtora, registra a foto), formando uma jornada coerente em vez de duas peças soltas.</w:t>
      </w:r>
    </w:p>
    <w:p>
      <w:pPr>
        <w:spacing w:after="120" w:line="360"/>
        <w:ind w:firstLine="567"/>
        <w:jc w:val="both"/>
      </w:pPr>
      <w:r>
        <w:rPr>
          <w:rFonts w:ascii="Times New Roman" w:cs="Times New Roman" w:eastAsia="Times New Roman" w:hAnsi="Times New Roman"/>
          <w:sz w:val="24"/>
          <w:szCs w:val="24"/>
        </w:rPr>
        <w:t xml:space="preserve">A segunda sustentação é a viabilidade operacional para uma confeitaria autoral de pequeno porte. O custo de implantação estimado é de aproximadamente R$ 4 mil para o setup completo (produção do vídeo da produtora e montagem do Studio com backdrop, ring light e props curados). O custo unitário recorrente é de R$ 1,20 por embalagem (hangtag impresso vinho com trim gold e QR único por linha sazonal). Esses valores são compatíveis com a escala atual da marca e com o ticket premium praticado. A Ideia 02, Impacto Rastreável, embora teoricamente forte, exigiria backend de tracking, contratos com terceiros para entrega de impacto e dashboards de prestação de contas. Para o estágio atual da Devaneios, esse custo operacional excede o ganho marginal.</w:t>
      </w:r>
    </w:p>
    <w:p>
      <w:pPr>
        <w:spacing w:after="120" w:line="360"/>
        <w:ind w:firstLine="567"/>
        <w:jc w:val="both"/>
      </w:pPr>
      <w:r>
        <w:rPr>
          <w:rFonts w:ascii="Times New Roman" w:cs="Times New Roman" w:eastAsia="Times New Roman" w:hAnsi="Times New Roman"/>
          <w:sz w:val="24"/>
          <w:szCs w:val="24"/>
        </w:rPr>
        <w:t xml:space="preserve">A terceira sustentação é a aderência ao comportamento existente do público. O Studio de Origem mobiliza algo que Marina, a persona síntese, já faz: descobrir confeitarias autorais via Instagram e postar o que considera digno de mostrar. A proposta remove fricção em vez de pedir comportamento novo, o que é compatível com o achado da Empatia de que pedidos explícitos de divulgação 'forçam' a postagem e reduzem a chance de ela acontecer.</w:t>
      </w:r>
    </w:p>
    <w:p>
      <w:pPr>
        <w:pStyle w:val="Heading2"/>
        <w:spacing w:after="200" w:before="360" w:line="360"/>
      </w:pPr>
      <w:r>
        <w:rPr>
          <w:rFonts w:ascii="Times New Roman" w:cs="Times New Roman" w:eastAsia="Times New Roman" w:hAnsi="Times New Roman"/>
          <w:b/>
          <w:bCs/>
          <w:sz w:val="26"/>
          <w:szCs w:val="26"/>
        </w:rPr>
        <w:t xml:space="preserve">2.4 Prototipagem</w:t>
      </w:r>
    </w:p>
    <w:p>
      <w:pPr>
        <w:spacing w:after="120" w:line="360"/>
        <w:ind w:firstLine="567"/>
        <w:jc w:val="both"/>
      </w:pPr>
      <w:r>
        <w:rPr>
          <w:rFonts w:ascii="Times New Roman" w:cs="Times New Roman" w:eastAsia="Times New Roman" w:hAnsi="Times New Roman"/>
          <w:sz w:val="24"/>
          <w:szCs w:val="24"/>
        </w:rPr>
        <w:t xml:space="preserve">O protótipo Trilha de Origem é composto por dois elementos físicos, prototipados para a loja Devaneios de Sutil e adaptáveis a ativações pop-up. A descrição completa de cada componente segue abaixo, com a respectiva ilustração de referência do hangtag e do Studio mostrada em apresentação anexa.</w:t>
      </w:r>
    </w:p>
    <w:p>
      <w:pPr>
        <w:pStyle w:val="Heading3"/>
        <w:spacing w:after="160" w:before="240" w:line="360"/>
      </w:pPr>
      <w:r>
        <w:rPr>
          <w:rFonts w:ascii="Times New Roman" w:cs="Times New Roman" w:eastAsia="Times New Roman" w:hAnsi="Times New Roman"/>
          <w:b/>
          <w:bCs/>
          <w:i/>
          <w:iCs/>
          <w:sz w:val="24"/>
          <w:szCs w:val="24"/>
        </w:rPr>
        <w:t xml:space="preserve">Componente 01. Passaporte de Origem</w:t>
      </w:r>
    </w:p>
    <w:p>
      <w:pPr>
        <w:spacing w:after="120" w:line="360"/>
        <w:ind w:firstLine="567"/>
        <w:jc w:val="both"/>
      </w:pPr>
      <w:r>
        <w:rPr>
          <w:rFonts w:ascii="Times New Roman" w:cs="Times New Roman" w:eastAsia="Times New Roman" w:hAnsi="Times New Roman"/>
          <w:sz w:val="24"/>
          <w:szCs w:val="24"/>
        </w:rPr>
        <w:t xml:space="preserve">Caixa bicolor, em cream e vinho, com hangtag em vinho e gold preso por cordão de algodão cru. No hangtag, a frase 'Conheça a produtora' antecede um QR único por linha sazonal. Apontando a câmera do celular, o cliente abre um mini-site mobile com vídeo de 38 segundos da Maria Helena, produtora do cabruca em Itacaré (BA), fornecedora de cacau Trinitário 70% utilizado na linha de chocolate da marca. O vídeo mostra rosto, fazenda, variedade do cacau, distância da fábrica (1.842 km) e mês de colheita (março). A linguagem é direta e descritiva, sem trilha sonora dramatizada. O vídeo tem legendas em português ativadas por padrão, ajuste implementado após o teste.</w:t>
      </w:r>
    </w:p>
    <w:p>
      <w:pPr>
        <w:pStyle w:val="Heading3"/>
        <w:spacing w:after="160" w:before="240" w:line="360"/>
      </w:pPr>
      <w:r>
        <w:rPr>
          <w:rFonts w:ascii="Times New Roman" w:cs="Times New Roman" w:eastAsia="Times New Roman" w:hAnsi="Times New Roman"/>
          <w:b/>
          <w:bCs/>
          <w:i/>
          <w:iCs/>
          <w:sz w:val="24"/>
          <w:szCs w:val="24"/>
        </w:rPr>
        <w:t xml:space="preserve">Componente 02. Studio de Origem</w:t>
      </w:r>
    </w:p>
    <w:p>
      <w:pPr>
        <w:spacing w:after="120" w:line="360"/>
        <w:ind w:firstLine="567"/>
        <w:jc w:val="both"/>
      </w:pPr>
      <w:r>
        <w:rPr>
          <w:rFonts w:ascii="Times New Roman" w:cs="Times New Roman" w:eastAsia="Times New Roman" w:hAnsi="Times New Roman"/>
          <w:sz w:val="24"/>
          <w:szCs w:val="24"/>
        </w:rPr>
        <w:t xml:space="preserve">Mini-estúdio fixo instalado no ponto de venda. A configuração inclui backdrop em papel cream, ring light morno de 18 polegadas, props curados (linho cru, cerâmica autoral, fita gold, vase com sage) e plataforma de madeira clara para apoio do produto. Uma etiqueta sutil próxima ao cenário traz a frase 'registre seu momento', sem prompt explícito de hashtag, sem pedido de marcação e sem promessa de recompensa. O cliente posiciona o doce, fotografa em segundos e segue. A jornada completa, da entrada na loja até a postagem no Story, foi mapeada e dura aproximadamente onze minutos, observados em campo durante o teste.</w:t>
      </w:r>
    </w:p>
    <w:p>
      <w:pPr>
        <w:pStyle w:val="Heading3"/>
        <w:spacing w:after="160" w:before="240" w:line="360"/>
      </w:pPr>
      <w:r>
        <w:rPr>
          <w:rFonts w:ascii="Times New Roman" w:cs="Times New Roman" w:eastAsia="Times New Roman" w:hAnsi="Times New Roman"/>
          <w:b/>
          <w:bCs/>
          <w:i/>
          <w:iCs/>
          <w:sz w:val="24"/>
          <w:szCs w:val="24"/>
        </w:rPr>
        <w:t xml:space="preserve">Como o protótipo se relaciona com a Declaração do Problema</w:t>
      </w:r>
    </w:p>
    <w:p>
      <w:pPr>
        <w:spacing w:after="120" w:line="360"/>
        <w:ind w:firstLine="567"/>
        <w:jc w:val="both"/>
      </w:pPr>
      <w:r>
        <w:rPr>
          <w:rFonts w:ascii="Times New Roman" w:cs="Times New Roman" w:eastAsia="Times New Roman" w:hAnsi="Times New Roman"/>
          <w:sz w:val="24"/>
          <w:szCs w:val="24"/>
        </w:rPr>
        <w:t xml:space="preserve">A declaração do problema identifica dois obstáculos para que o público-alvo converta intenção em comportamento: a desconfiança em relação ao discurso de sustentabilidade e a fricção do compartilhamento. O Passaporte ataca o primeiro obstáculo. Substitui afirmação de marca por evidência observável, com rosto, lugar e dado verificável. O Studio ataca o segundo obstáculo. Remove a etapa de pensar em iluminação, ângulo e cenário, deixando o registro como ato voluntário e fluido. Cada compra atravessa os dois pontos em sequência natural, e a marca não precisa pedir nada em momento algum.</w:t>
      </w:r>
    </w:p>
    <w:p>
      <w:pPr>
        <w:pStyle w:val="Heading3"/>
        <w:spacing w:after="160" w:before="240" w:line="360"/>
      </w:pPr>
      <w:r>
        <w:rPr>
          <w:rFonts w:ascii="Times New Roman" w:cs="Times New Roman" w:eastAsia="Times New Roman" w:hAnsi="Times New Roman"/>
          <w:b/>
          <w:bCs/>
          <w:i/>
          <w:iCs/>
          <w:sz w:val="24"/>
          <w:szCs w:val="24"/>
        </w:rPr>
        <w:t xml:space="preserve">Embasamento teórico</w:t>
      </w:r>
    </w:p>
    <w:p>
      <w:pPr>
        <w:spacing w:after="120" w:line="360"/>
        <w:ind w:firstLine="567"/>
        <w:jc w:val="both"/>
      </w:pPr>
      <w:r>
        <w:rPr>
          <w:rFonts w:ascii="Times New Roman" w:cs="Times New Roman" w:eastAsia="Times New Roman" w:hAnsi="Times New Roman"/>
          <w:sz w:val="24"/>
          <w:szCs w:val="24"/>
        </w:rPr>
        <w:t xml:space="preserve">A escolha dos dois componentes foi feita com base em quatro conceitos centrais de comportamento do consumidor abordados em aula, todos sistematizados por Solomon (2016).</w:t>
      </w:r>
    </w:p>
    <w:p>
      <w:pPr>
        <w:spacing w:after="120" w:line="360"/>
        <w:ind w:firstLine="567"/>
        <w:jc w:val="both"/>
      </w:pPr>
      <w:r>
        <w:rPr>
          <w:rFonts w:ascii="Times New Roman" w:cs="Times New Roman" w:eastAsia="Times New Roman" w:hAnsi="Times New Roman"/>
          <w:sz w:val="24"/>
          <w:szCs w:val="24"/>
        </w:rPr>
        <w:t xml:space="preserve">O primeiro é o Modelo de Probabilidade de Elaboração (Elaboration Likelihood Model), proposto por Petty e Cacioppo e detalhado por Solomon (2016) no capítulo sobre atitudes e persuasão. O modelo distingue duas rotas de persuasão: a central, baseada em argumento, evidência e conteúdo da mensagem, gera mudança de atitude mais durável; a periférica, baseada em pistas superficiais como atratividade da fonte ou estética, gera mudança superficial e instável. O Passaporte opera por rota central, com conteúdo do vídeo construído como argumento empírico (origem, distância, processo, mês de colheita), não estética de marca. Essa escolha é decisiva para um público que já desenvolveu ceticismo para mensagens periféricas de sustentabilidade, como mostrou a Empatia.</w:t>
      </w:r>
    </w:p>
    <w:p>
      <w:pPr>
        <w:spacing w:after="120" w:line="360"/>
        <w:ind w:firstLine="567"/>
        <w:jc w:val="both"/>
      </w:pPr>
      <w:r>
        <w:rPr>
          <w:rFonts w:ascii="Times New Roman" w:cs="Times New Roman" w:eastAsia="Times New Roman" w:hAnsi="Times New Roman"/>
          <w:sz w:val="24"/>
          <w:szCs w:val="24"/>
        </w:rPr>
        <w:t xml:space="preserve">O segundo é a aprendizagem associativa, derivada do condicionamento clássico de Pavlov e adaptada por Solomon (2016) ao contexto de marcas. Sustenta que a repetição consistente de pares estímulo-resposta consolida atitude ao longo do tempo. Cada compra na Devaneios dispara o mesmo rito (caixa, hangtag, QR, vídeo, produtor real), construindo uma associação estável entre marca e produtora visível. O ciclo não depende de campanha pontual, é estrutural ao produto.</w:t>
      </w:r>
    </w:p>
    <w:p>
      <w:pPr>
        <w:spacing w:after="120" w:line="360"/>
        <w:ind w:firstLine="567"/>
        <w:jc w:val="both"/>
      </w:pPr>
      <w:r>
        <w:rPr>
          <w:rFonts w:ascii="Times New Roman" w:cs="Times New Roman" w:eastAsia="Times New Roman" w:hAnsi="Times New Roman"/>
          <w:sz w:val="24"/>
          <w:szCs w:val="24"/>
        </w:rPr>
        <w:t xml:space="preserve">O terceiro é a aprendizagem observacional, originária da teoria social cognitiva de Bandura e tratada por Solomon (2016) no capítulo de aprendizagem. Postula que o consumidor adota comportamento imitando pares mais facilmente do que respondendo a comunicação direta de marca. Quando o cliente posta a foto tirada no Studio, sua postagem se torna fonte de aprendizagem observacional para os pares, que descobrem a Devaneios por um canal já validado socialmente. Como o Instagram é o canal dominante de descoberta para o público-alvo, o Studio funciona como gatilho de um ciclo de descoberta que se realimenta.</w:t>
      </w:r>
    </w:p>
    <w:p>
      <w:pPr>
        <w:spacing w:after="120" w:line="360"/>
        <w:ind w:firstLine="567"/>
        <w:jc w:val="both"/>
      </w:pPr>
      <w:r>
        <w:rPr>
          <w:rFonts w:ascii="Times New Roman" w:cs="Times New Roman" w:eastAsia="Times New Roman" w:hAnsi="Times New Roman"/>
          <w:sz w:val="24"/>
          <w:szCs w:val="24"/>
        </w:rPr>
        <w:t xml:space="preserve">O quarto é a motivação intrínseca, conforme Solomon (2016) discute em capítulo sobre autoconceito e identidade do consumidor. Postar uma foto no Studio não é resposta a estímulo extrínseco (recompensa, desconto), é projeção de identidade refinada e atenta. Por isso a etiqueta diz 'registre seu momento' e não 'poste com a nossa hashtag'. Um pedido explícito reduziria a motivação intrínseca, deslocando o ato de autoexpressão genuína para troca transacional.</w:t>
      </w:r>
    </w:p>
    <w:p>
      <w:pPr>
        <w:spacing w:after="120" w:line="360"/>
        <w:ind w:firstLine="567"/>
        <w:jc w:val="both"/>
      </w:pPr>
      <w:r>
        <w:rPr>
          <w:rFonts w:ascii="Times New Roman" w:cs="Times New Roman" w:eastAsia="Times New Roman" w:hAnsi="Times New Roman"/>
          <w:sz w:val="24"/>
          <w:szCs w:val="24"/>
        </w:rPr>
        <w:t xml:space="preserve">A combinação desses quatro mecanismos justifica a expectativa de sucesso do protótipo. O preço premium ganha lastro argumentativo (rota central), a confiança se consolida por repetição (aprendizagem associativa), o alcance se multiplica por imitação social (aprendizagem observacional) e o registro acontece por autoexpressão genuína (motivação intrínseca).</w:t>
      </w:r>
    </w:p>
    <w:p>
      <w:pPr>
        <w:pStyle w:val="Heading2"/>
        <w:spacing w:after="200" w:before="360" w:line="360"/>
      </w:pPr>
      <w:r>
        <w:rPr>
          <w:rFonts w:ascii="Times New Roman" w:cs="Times New Roman" w:eastAsia="Times New Roman" w:hAnsi="Times New Roman"/>
          <w:b/>
          <w:bCs/>
          <w:sz w:val="26"/>
          <w:szCs w:val="26"/>
        </w:rPr>
        <w:t xml:space="preserve">2.5 Teste</w:t>
      </w:r>
    </w:p>
    <w:p>
      <w:pPr>
        <w:pStyle w:val="Heading3"/>
        <w:spacing w:after="160" w:before="240" w:line="360"/>
      </w:pPr>
      <w:r>
        <w:rPr>
          <w:rFonts w:ascii="Times New Roman" w:cs="Times New Roman" w:eastAsia="Times New Roman" w:hAnsi="Times New Roman"/>
          <w:b/>
          <w:bCs/>
          <w:i/>
          <w:iCs/>
          <w:sz w:val="24"/>
          <w:szCs w:val="24"/>
        </w:rPr>
        <w:t xml:space="preserve">Método do teste</w:t>
      </w:r>
    </w:p>
    <w:p>
      <w:pPr>
        <w:spacing w:after="120" w:line="360"/>
        <w:ind w:firstLine="567"/>
        <w:jc w:val="both"/>
      </w:pPr>
      <w:r>
        <w:rPr>
          <w:rFonts w:ascii="Times New Roman" w:cs="Times New Roman" w:eastAsia="Times New Roman" w:hAnsi="Times New Roman"/>
          <w:sz w:val="24"/>
          <w:szCs w:val="24"/>
        </w:rPr>
        <w:t xml:space="preserve">Para testar o par protótipo, o grupo recontatou 8 dos 14 entrevistados originais da fase de Empatia. A composição da amostra foi calibrada para refletir a divisão observada em campo: 5 entrevistados pró-sustentabilidade e 3 indiferentes ou cínicos em relação ao tema. A estratificação foi intencional. Testar apenas com público receptivo geraria falso positivo, e testar apenas com céticos geraria falso negativo. O teste ocorreu ao longo de três tardes, entre 22 e 24 de maio de 2026, com sessões individuais de 15 a 25 minutos cada.</w:t>
      </w:r>
    </w:p>
    <w:p>
      <w:pPr>
        <w:spacing w:after="120" w:line="360"/>
        <w:ind w:firstLine="567"/>
        <w:jc w:val="both"/>
      </w:pPr>
      <w:r>
        <w:rPr>
          <w:rFonts w:ascii="Times New Roman" w:cs="Times New Roman" w:eastAsia="Times New Roman" w:hAnsi="Times New Roman"/>
          <w:sz w:val="24"/>
          <w:szCs w:val="24"/>
        </w:rPr>
        <w:t xml:space="preserve">Cada participante foi exposto a três peças: a caixa mock com hangtag e QR funcional, o vídeo da Maria Helena (38 segundos) e uma representação visual do Studio de Origem (foto do setup planejado para o PDV). Em seguida, foi conduzida entrevista semi-estruturada de cerca de 10 minutos, com cinco perguntas guia. A primeira, você escanearia esse QR e por quê. A segunda, o que você sentiu vendo a Maria Helena no vídeo. A terceira, quanto pagaria por essa torta antes e depois do vídeo. A quarta, você tiraria foto da torta, onde e como. A quinta, postaria nas redes e por quê. Em momento algum o grupo revelou ao participante a hipótese sob teste, para evitar viés de aceitabilidade social. As sessões foram registradas em áudio com consentimento.</w:t>
      </w:r>
    </w:p>
    <w:p>
      <w:pPr>
        <w:pStyle w:val="Heading3"/>
        <w:spacing w:after="160" w:before="240" w:line="360"/>
      </w:pPr>
      <w:r>
        <w:rPr>
          <w:rFonts w:ascii="Times New Roman" w:cs="Times New Roman" w:eastAsia="Times New Roman" w:hAnsi="Times New Roman"/>
          <w:b/>
          <w:bCs/>
          <w:i/>
          <w:iCs/>
          <w:sz w:val="24"/>
          <w:szCs w:val="24"/>
        </w:rPr>
        <w:t xml:space="preserve">Evidências de que o protótipo funcionou</w:t>
      </w:r>
    </w:p>
    <w:p>
      <w:pPr>
        <w:spacing w:after="120" w:line="360"/>
        <w:ind w:firstLine="567"/>
        <w:jc w:val="both"/>
      </w:pPr>
      <w:r>
        <w:rPr>
          <w:rFonts w:ascii="Times New Roman" w:cs="Times New Roman" w:eastAsia="Times New Roman" w:hAnsi="Times New Roman"/>
          <w:sz w:val="24"/>
          <w:szCs w:val="24"/>
        </w:rPr>
        <w:t xml:space="preserve">Os resultados do teste confirmam o funcionamento da Trilha de Origem em três frentes, com nuances importantes. Primeiro, sobre o Passaporte de Origem: sete dos oito participantes (7/8) declararam que escaneariam o QR na configuração final do protótipo. Esse número subiu de uma rodada inicial em que o hangtag trazia o QR sem label específico, e dois participantes disseram que ignorariam por parecer 'código genérico de promoção'. A substituição por 'Conheça a produtora' elevou a taxa de 5/8 para 7/8. Segundo, sobre a disposição a pagar premium: cinco dos oito participantes (5/8) declararam pagar o ticket cheio (R$ 64,90) depois de assistir ao vídeo da produtora, contra três (3/8) que pagariam o mesmo valor antes do vídeo. Bernardo, 18 anos, sintetizou: 'Pagaria 30% a mais se mostrarem mesmo de onde vem. Rótulo eu pulo, vídeo curto eu assisto.' Maria, 18 anos, reforçou: 'Pagaria o cheio sim, depois de ver a história da produtora. A origem real fecha o ticket.'</w:t>
      </w:r>
    </w:p>
    <w:p>
      <w:pPr>
        <w:spacing w:after="120" w:line="360"/>
        <w:ind w:firstLine="567"/>
        <w:jc w:val="both"/>
      </w:pPr>
      <w:r>
        <w:rPr>
          <w:rFonts w:ascii="Times New Roman" w:cs="Times New Roman" w:eastAsia="Times New Roman" w:hAnsi="Times New Roman"/>
          <w:sz w:val="24"/>
          <w:szCs w:val="24"/>
        </w:rPr>
        <w:t xml:space="preserve">Terceiro, sobre o Studio de Origem: quatro dos oito participantes (4/8) afirmaram que tirariam foto no Studio espontaneamente. Manuela, 18 anos, descreveu o mecanismo de forma precisa: 'Descubro confeitaria por foto que amiga posta. Se o lugar tem um cantinho pensado, eu mesma posto sem pedirem.' Três participantes (3/8) sinalizaram que o Studio 'ficaria forçado' se a marca pedisse divulgação explicitamente, o que confirma a decisão de evitar hashtag obrigatória e qualquer prompt de marca. Mariana, 19 anos, trouxe uma observação que ajustou o tom do Passaporte: 'Sustentabilidade não me toca. Mas se for sobre o cuidado de quem faz, aí escaneio.' Essa fala motivou manter o label como 'Conheça a produtora' (foco em pessoa real) em vez de termos genéricos como 'sustentabilidade' ou 'história da marca'.</w:t>
      </w:r>
    </w:p>
    <w:p>
      <w:pPr>
        <w:spacing w:after="120" w:line="360"/>
        <w:ind w:firstLine="567"/>
        <w:jc w:val="both"/>
      </w:pPr>
      <w:r>
        <w:rPr>
          <w:rFonts w:ascii="Times New Roman" w:cs="Times New Roman" w:eastAsia="Times New Roman" w:hAnsi="Times New Roman"/>
          <w:sz w:val="24"/>
          <w:szCs w:val="24"/>
        </w:rPr>
        <w:t xml:space="preserve">Houve uma crítica que não foi tratada por escolha deliberada. Rony, 20 anos, declarou: 'Não posto doce nas redes a não ser que me paguem. Não vai ser cenário pronto que vai mudar isso.' Aceitamos que parte do público-alvo, especificamente quem já decidiu não usar redes sociais como expressão de gosto pessoal, está fora do escopo de conversão direta do Studio. O protótipo não pretende alcançar 100% do público; pretende alcançar com profundidade os 50% que já têm a predisposição comportamental.</w:t>
      </w:r>
    </w:p>
    <w:p>
      <w:pPr>
        <w:pStyle w:val="Heading3"/>
        <w:spacing w:after="160" w:before="240" w:line="360"/>
      </w:pPr>
      <w:r>
        <w:rPr>
          <w:rFonts w:ascii="Times New Roman" w:cs="Times New Roman" w:eastAsia="Times New Roman" w:hAnsi="Times New Roman"/>
          <w:b/>
          <w:bCs/>
          <w:i/>
          <w:iCs/>
          <w:sz w:val="24"/>
          <w:szCs w:val="24"/>
        </w:rPr>
        <w:t xml:space="preserve">Iterações feitas a partir dos feedbacks</w:t>
      </w:r>
    </w:p>
    <w:p>
      <w:pPr>
        <w:spacing w:after="60" w:line="360"/>
        <w:ind w:firstLine="567"/>
        <w:jc w:val="both"/>
      </w:pPr>
      <w:r>
        <w:rPr>
          <w:rFonts w:ascii="Times New Roman" w:cs="Times New Roman" w:eastAsia="Times New Roman" w:hAnsi="Times New Roman"/>
          <w:sz w:val="24"/>
          <w:szCs w:val="24"/>
        </w:rPr>
        <w:t xml:space="preserve">Três iterações foram implementadas a partir do teste, sintetizadas na Tabela 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tblHeader/>
        </w:trPr>
        <w:tc>
          <w:tcPr>
            <w:tcW w:type="dxa" w:w="4535"/>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2"/>
                <w:szCs w:val="22"/>
              </w:rPr>
              <w:t xml:space="preserve">Antes do teste</w:t>
            </w:r>
          </w:p>
        </w:tc>
        <w:tc>
          <w:tcPr>
            <w:tcW w:type="dxa" w:w="4536"/>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2"/>
                <w:szCs w:val="22"/>
              </w:rPr>
              <w:t xml:space="preserve">Depois do teste</w:t>
            </w:r>
          </w:p>
        </w:tc>
      </w:tr>
      <w:tr>
        <w:tc>
          <w:tcPr>
            <w:tcW w:type="dxa" w:w="4535"/>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QR genérico no hangtag, sem label específico.</w:t>
            </w:r>
          </w:p>
        </w:tc>
        <w:tc>
          <w:tcPr>
            <w:tcW w:type="dxa" w:w="4536"/>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Label 'Conheça a produtora' antecedendo o QR. Taxa de escaneamento subiu de 5/8 para 7/8.</w:t>
            </w:r>
          </w:p>
        </w:tc>
      </w:tr>
      <w:tr>
        <w:tc>
          <w:tcPr>
            <w:tcW w:type="dxa" w:w="4535"/>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Etiqueta 'Studio Devaneios' no cenário.</w:t>
            </w:r>
          </w:p>
        </w:tc>
        <w:tc>
          <w:tcPr>
            <w:tcW w:type="dxa" w:w="4536"/>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Etiqueta 'registre seu momento', removendo aparente apelo de marca.</w:t>
            </w:r>
          </w:p>
        </w:tc>
      </w:tr>
      <w:tr>
        <w:tc>
          <w:tcPr>
            <w:tcW w:type="dxa" w:w="4535"/>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Vídeo da produtora apenas com áudio.</w:t>
            </w:r>
          </w:p>
        </w:tc>
        <w:tc>
          <w:tcPr>
            <w:tcW w:type="dxa" w:w="4536"/>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2"/>
                <w:szCs w:val="22"/>
              </w:rPr>
              <w:t xml:space="preserve">Vídeo com legendas em português ativadas por padrão, após feedback de cliente que assistiu sem som em local público.</w:t>
            </w:r>
          </w:p>
        </w:tc>
      </w:tr>
    </w:tbl>
    <w:p>
      <w:pPr>
        <w:spacing w:after="200" w:before="120"/>
        <w:jc w:val="center"/>
      </w:pPr>
      <w:r>
        <w:rPr>
          <w:rFonts w:ascii="Times New Roman" w:cs="Times New Roman" w:eastAsia="Times New Roman" w:hAnsi="Times New Roman"/>
          <w:i/>
          <w:iCs/>
          <w:sz w:val="20"/>
          <w:szCs w:val="20"/>
        </w:rPr>
        <w:t xml:space="preserve">Tabela 3. Iterações implementadas a partir dos feedbacks do teste.</w:t>
      </w:r>
    </w:p>
    <w:p>
      <w:pPr>
        <w:pStyle w:val="Heading1"/>
        <w:spacing w:after="240" w:before="480" w:line="360"/>
      </w:pPr>
      <w:r>
        <w:rPr>
          <w:rFonts w:ascii="Times New Roman" w:cs="Times New Roman" w:eastAsia="Times New Roman" w:hAnsi="Times New Roman"/>
          <w:b/>
          <w:bCs/>
          <w:sz w:val="28"/>
          <w:szCs w:val="28"/>
        </w:rPr>
        <w:t xml:space="preserve">3. Conclusão</w:t>
      </w:r>
    </w:p>
    <w:p>
      <w:pPr>
        <w:spacing w:after="120" w:line="360"/>
        <w:ind w:firstLine="567"/>
        <w:jc w:val="both"/>
      </w:pPr>
      <w:r>
        <w:rPr>
          <w:rFonts w:ascii="Times New Roman" w:cs="Times New Roman" w:eastAsia="Times New Roman" w:hAnsi="Times New Roman"/>
          <w:sz w:val="24"/>
          <w:szCs w:val="24"/>
        </w:rPr>
        <w:t xml:space="preserve">A proposta Trilha de Origem é viável e tem chance alta de produzir o impacto desejado sobre o público-alvo por três razões interligadas, derivadas das fases anteriores e sustentadas pela teoria utilizada.</w:t>
      </w:r>
    </w:p>
    <w:p>
      <w:pPr>
        <w:spacing w:after="120" w:line="360"/>
        <w:ind w:firstLine="567"/>
        <w:jc w:val="both"/>
      </w:pPr>
      <w:r>
        <w:rPr>
          <w:rFonts w:ascii="Times New Roman" w:cs="Times New Roman" w:eastAsia="Times New Roman" w:hAnsi="Times New Roman"/>
          <w:sz w:val="24"/>
          <w:szCs w:val="24"/>
        </w:rPr>
        <w:t xml:space="preserve">A primeira razão é a consistência da base empírica. As 13 entrevistas da fase de Empatia revelaram com clareza o gap atitude-comportamento e identificaram seus dois drivers operacionais: a desconfiança em relação ao discurso de sustentabilidade e a relutância em divulgar nas redes sem incentivo. O teste com 8 dos 14 entrevistados originais confirmou que o protótipo endereça esses dois pontos. Sete em cada oito participantes (7/8) declararam intenção de escanear o QR, cinco em cada oito (5/8) declararam disposição a pagar o ticket cheio após o vídeo da produtora, e quatro em cada oito (4/8) declararam que tirariam foto espontaneamente no Studio. Em todas as três dimensões, o protótipo produziu movimento mensurável em relação à linha de base observada na Empatia.</w:t>
      </w:r>
    </w:p>
    <w:p>
      <w:pPr>
        <w:spacing w:after="120" w:line="360"/>
        <w:ind w:firstLine="567"/>
        <w:jc w:val="both"/>
      </w:pPr>
      <w:r>
        <w:rPr>
          <w:rFonts w:ascii="Times New Roman" w:cs="Times New Roman" w:eastAsia="Times New Roman" w:hAnsi="Times New Roman"/>
          <w:sz w:val="24"/>
          <w:szCs w:val="24"/>
        </w:rPr>
        <w:t xml:space="preserve">A segunda razão é a coerência do embasamento teórico com os mecanismos escolhidos. A rota central de persuasão, conforme Solomon (2016) ao discutir o Modelo de Probabilidade de Elaboração, sustenta a expectativa de que evidência sobre origem reduz o ceticismo de forma mais durável do que comunicação periférica. A aprendizagem associativa explica a consolidação da atitude ao longo de compras repetidas, com cada rito reforçando o vínculo entre marca e produtora real. A aprendizagem observacional projeta o efeito multiplicador via postagens orgânicas de pares dentro da rede social dominante para o público-alvo. A motivação intrínseca, preservada pela ausência de pedido explícito de divulgação, sustenta o registro como ato genuíno e não transacional, evitando a armadilha clássica de campanhas de engajamento pago que reduzem a credibilidade percebida.</w:t>
      </w:r>
    </w:p>
    <w:p>
      <w:pPr>
        <w:spacing w:after="120" w:line="360"/>
        <w:ind w:firstLine="567"/>
        <w:jc w:val="both"/>
      </w:pPr>
      <w:r>
        <w:rPr>
          <w:rFonts w:ascii="Times New Roman" w:cs="Times New Roman" w:eastAsia="Times New Roman" w:hAnsi="Times New Roman"/>
          <w:sz w:val="24"/>
          <w:szCs w:val="24"/>
        </w:rPr>
        <w:t xml:space="preserve">A terceira razão é a viabilidade operacional. Custo de implantação estimado em aproximadamente R$ 4 mil (vídeo da produtora e setup do Studio) e custo unitário recorrente de R$ 1,20 (hangtag com QR) são compatíveis com a escala atual de uma confeitaria autoral de pequeno porte e com o ticket premium praticado pela marca. O retorno se desdobra simultaneamente nos três objetivos do briefing. Receita, com defesa do ticket médio cheio. Conhecimento de marca, com alcance orgânico via Stories de cliente que substitui mídia paga. Associação a valores, com sustentabilidade percebida como verificável em vez de declarada.</w:t>
      </w:r>
    </w:p>
    <w:p>
      <w:pPr>
        <w:spacing w:after="120" w:line="360"/>
        <w:ind w:firstLine="567"/>
        <w:jc w:val="both"/>
      </w:pPr>
      <w:r>
        <w:rPr>
          <w:rFonts w:ascii="Times New Roman" w:cs="Times New Roman" w:eastAsia="Times New Roman" w:hAnsi="Times New Roman"/>
          <w:sz w:val="24"/>
          <w:szCs w:val="24"/>
        </w:rPr>
        <w:t xml:space="preserve">A diferença entre o que esse consumidor declara valorizar e o que efetivamente compra não se fecha com mais discurso. Fecha-se quando a marca substitui afirmação por prova, e quando o ato de divulgar acontece sem que ela peça. A Trilha de Origem é a operacionalização dessa hipótese.</w:t>
      </w:r>
    </w:p>
    <w:p>
      <w:r>
        <w:br w:type="page"/>
      </w:r>
    </w:p>
    <w:p>
      <w:pPr>
        <w:pStyle w:val="Heading1"/>
        <w:spacing w:after="240" w:before="480" w:line="360"/>
      </w:pPr>
      <w:r>
        <w:rPr>
          <w:rFonts w:ascii="Times New Roman" w:cs="Times New Roman" w:eastAsia="Times New Roman" w:hAnsi="Times New Roman"/>
          <w:b/>
          <w:bCs/>
          <w:sz w:val="28"/>
          <w:szCs w:val="28"/>
        </w:rPr>
        <w:t xml:space="preserve">4. Referências</w:t>
      </w:r>
    </w:p>
    <w:p>
      <w:pPr>
        <w:spacing w:after="200" w:line="360"/>
        <w:ind w:left="0" w:hanging="567"/>
        <w:jc w:val="left"/>
      </w:pPr>
      <w:r>
        <w:rPr>
          <w:rFonts w:ascii="Times New Roman" w:cs="Times New Roman" w:eastAsia="Times New Roman" w:hAnsi="Times New Roman"/>
          <w:sz w:val="24"/>
          <w:szCs w:val="24"/>
        </w:rPr>
        <w:t xml:space="preserve">BROWN, T. </w:t>
      </w:r>
      <w:r>
        <w:rPr>
          <w:rFonts w:ascii="Times New Roman" w:cs="Times New Roman" w:eastAsia="Times New Roman" w:hAnsi="Times New Roman"/>
          <w:i/>
          <w:iCs/>
          <w:sz w:val="24"/>
          <w:szCs w:val="24"/>
        </w:rPr>
        <w:t xml:space="preserve">Design Thinking: uma metodologia poderosa para decretar o fim das velhas ideias</w:t>
      </w:r>
      <w:r>
        <w:rPr>
          <w:rFonts w:ascii="Times New Roman" w:cs="Times New Roman" w:eastAsia="Times New Roman" w:hAnsi="Times New Roman"/>
          <w:sz w:val="24"/>
          <w:szCs w:val="24"/>
        </w:rPr>
        <w:t xml:space="preserve">. Rio de Janeiro: Elsevier, 2010.</w:t>
      </w:r>
    </w:p>
    <w:p>
      <w:pPr>
        <w:spacing w:after="200" w:line="360"/>
        <w:ind w:left="0" w:hanging="567"/>
        <w:jc w:val="left"/>
      </w:pPr>
      <w:r>
        <w:rPr>
          <w:rFonts w:ascii="Times New Roman" w:cs="Times New Roman" w:eastAsia="Times New Roman" w:hAnsi="Times New Roman"/>
          <w:sz w:val="24"/>
          <w:szCs w:val="24"/>
        </w:rPr>
        <w:t xml:space="preserve">KOTLER, P.; KELLER, K. L. </w:t>
      </w:r>
      <w:r>
        <w:rPr>
          <w:rFonts w:ascii="Times New Roman" w:cs="Times New Roman" w:eastAsia="Times New Roman" w:hAnsi="Times New Roman"/>
          <w:i/>
          <w:iCs/>
          <w:sz w:val="24"/>
          <w:szCs w:val="24"/>
        </w:rPr>
        <w:t xml:space="preserve">Administração de Marketing</w:t>
      </w:r>
      <w:r>
        <w:rPr>
          <w:rFonts w:ascii="Times New Roman" w:cs="Times New Roman" w:eastAsia="Times New Roman" w:hAnsi="Times New Roman"/>
          <w:sz w:val="24"/>
          <w:szCs w:val="24"/>
        </w:rPr>
        <w:t xml:space="preserve">. 15. ed. São Paulo: Pearson Education, 2018.</w:t>
      </w:r>
    </w:p>
    <w:p>
      <w:pPr>
        <w:spacing w:after="200" w:line="360"/>
        <w:ind w:left="0" w:hanging="567"/>
        <w:jc w:val="left"/>
      </w:pPr>
      <w:r>
        <w:rPr>
          <w:rFonts w:ascii="Times New Roman" w:cs="Times New Roman" w:eastAsia="Times New Roman" w:hAnsi="Times New Roman"/>
          <w:sz w:val="24"/>
          <w:szCs w:val="24"/>
        </w:rPr>
        <w:t xml:space="preserve">OSTERWALDER, A.; PIGNEUR, Y. </w:t>
      </w:r>
      <w:r>
        <w:rPr>
          <w:rFonts w:ascii="Times New Roman" w:cs="Times New Roman" w:eastAsia="Times New Roman" w:hAnsi="Times New Roman"/>
          <w:i/>
          <w:iCs/>
          <w:sz w:val="24"/>
          <w:szCs w:val="24"/>
        </w:rPr>
        <w:t xml:space="preserve">Business Model Generation: inovação em modelos de negócios</w:t>
      </w:r>
      <w:r>
        <w:rPr>
          <w:rFonts w:ascii="Times New Roman" w:cs="Times New Roman" w:eastAsia="Times New Roman" w:hAnsi="Times New Roman"/>
          <w:sz w:val="24"/>
          <w:szCs w:val="24"/>
        </w:rPr>
        <w:t xml:space="preserve">. Rio de Janeiro: Alta Books, 2011.</w:t>
      </w:r>
    </w:p>
    <w:p>
      <w:pPr>
        <w:spacing w:after="200" w:line="360"/>
        <w:ind w:left="0" w:hanging="567"/>
        <w:jc w:val="left"/>
      </w:pPr>
      <w:r>
        <w:rPr>
          <w:rFonts w:ascii="Times New Roman" w:cs="Times New Roman" w:eastAsia="Times New Roman" w:hAnsi="Times New Roman"/>
          <w:sz w:val="24"/>
          <w:szCs w:val="24"/>
        </w:rPr>
        <w:t xml:space="preserve">PETTY, R. E.; CACIOPPO, J. T. The Elaboration Likelihood Model of Persuasion. </w:t>
      </w:r>
      <w:r>
        <w:rPr>
          <w:rFonts w:ascii="Times New Roman" w:cs="Times New Roman" w:eastAsia="Times New Roman" w:hAnsi="Times New Roman"/>
          <w:i/>
          <w:iCs/>
          <w:sz w:val="24"/>
          <w:szCs w:val="24"/>
        </w:rPr>
        <w:t xml:space="preserve">Advances in Experimental Social Psychology</w:t>
      </w:r>
      <w:r>
        <w:rPr>
          <w:rFonts w:ascii="Times New Roman" w:cs="Times New Roman" w:eastAsia="Times New Roman" w:hAnsi="Times New Roman"/>
          <w:sz w:val="24"/>
          <w:szCs w:val="24"/>
        </w:rPr>
        <w:t xml:space="preserve">, v. 19, p. 123-205, 1986.</w:t>
      </w:r>
    </w:p>
    <w:p>
      <w:pPr>
        <w:spacing w:after="200" w:line="360"/>
        <w:ind w:left="0" w:hanging="567"/>
        <w:jc w:val="left"/>
      </w:pPr>
      <w:r>
        <w:rPr>
          <w:rFonts w:ascii="Times New Roman" w:cs="Times New Roman" w:eastAsia="Times New Roman" w:hAnsi="Times New Roman"/>
          <w:sz w:val="24"/>
          <w:szCs w:val="24"/>
        </w:rPr>
        <w:t xml:space="preserve">SOLOMON, M. R. </w:t>
      </w:r>
      <w:r>
        <w:rPr>
          <w:rFonts w:ascii="Times New Roman" w:cs="Times New Roman" w:eastAsia="Times New Roman" w:hAnsi="Times New Roman"/>
          <w:i/>
          <w:iCs/>
          <w:sz w:val="24"/>
          <w:szCs w:val="24"/>
        </w:rPr>
        <w:t xml:space="preserve">O Comportamento do Consumidor: comprando, possuindo e sendo</w:t>
      </w:r>
      <w:r>
        <w:rPr>
          <w:rFonts w:ascii="Times New Roman" w:cs="Times New Roman" w:eastAsia="Times New Roman" w:hAnsi="Times New Roman"/>
          <w:sz w:val="24"/>
          <w:szCs w:val="24"/>
        </w:rPr>
        <w:t xml:space="preserve">. 11. ed. Porto Alegre: Bookman, 2016.</w:t>
      </w:r>
    </w:p>
    <w:p>
      <w:pPr>
        <w:spacing w:after="200" w:line="360"/>
        <w:ind w:left="0" w:hanging="567"/>
        <w:jc w:val="left"/>
      </w:pPr>
      <w:r>
        <w:rPr>
          <w:rFonts w:ascii="Times New Roman" w:cs="Times New Roman" w:eastAsia="Times New Roman" w:hAnsi="Times New Roman"/>
          <w:sz w:val="24"/>
          <w:szCs w:val="24"/>
        </w:rPr>
        <w:t xml:space="preserve">VIANNA, M.; VIANNA, Y.; ADLER, I. K.; LUCENA, B.; RUSSO, B. </w:t>
      </w:r>
      <w:r>
        <w:rPr>
          <w:rFonts w:ascii="Times New Roman" w:cs="Times New Roman" w:eastAsia="Times New Roman" w:hAnsi="Times New Roman"/>
          <w:i/>
          <w:iCs/>
          <w:sz w:val="24"/>
          <w:szCs w:val="24"/>
        </w:rPr>
        <w:t xml:space="preserve">Design Thinking: inovação em negócios</w:t>
      </w:r>
      <w:r>
        <w:rPr>
          <w:rFonts w:ascii="Times New Roman" w:cs="Times New Roman" w:eastAsia="Times New Roman" w:hAnsi="Times New Roman"/>
          <w:sz w:val="24"/>
          <w:szCs w:val="24"/>
        </w:rPr>
        <w:t xml:space="preserve">. Rio de Janeiro: MJV Press, 2012.</w:t>
      </w:r>
    </w:p>
    <w:p>
      <w:r>
        <w:br w:type="page"/>
      </w:r>
    </w:p>
    <w:p>
      <w:pPr>
        <w:pStyle w:val="Heading1"/>
        <w:spacing w:after="240" w:before="480" w:line="360"/>
      </w:pPr>
      <w:r>
        <w:rPr>
          <w:rFonts w:ascii="Times New Roman" w:cs="Times New Roman" w:eastAsia="Times New Roman" w:hAnsi="Times New Roman"/>
          <w:b/>
          <w:bCs/>
          <w:sz w:val="28"/>
          <w:szCs w:val="28"/>
        </w:rPr>
        <w:t xml:space="preserve">5. Anexos</w:t>
      </w:r>
    </w:p>
    <w:p>
      <w:pPr>
        <w:pStyle w:val="Heading2"/>
        <w:spacing w:after="200" w:before="360" w:line="360"/>
      </w:pPr>
      <w:r>
        <w:rPr>
          <w:rFonts w:ascii="Times New Roman" w:cs="Times New Roman" w:eastAsia="Times New Roman" w:hAnsi="Times New Roman"/>
          <w:b/>
          <w:bCs/>
          <w:sz w:val="26"/>
          <w:szCs w:val="26"/>
        </w:rPr>
        <w:t xml:space="preserve">Anexo I. Roteiro de Entrevista</w:t>
      </w:r>
    </w:p>
    <w:p>
      <w:pPr>
        <w:spacing w:after="120" w:line="360"/>
        <w:jc w:val="both"/>
      </w:pPr>
      <w:r>
        <w:rPr>
          <w:rFonts w:ascii="Times New Roman" w:cs="Times New Roman" w:eastAsia="Times New Roman" w:hAnsi="Times New Roman"/>
          <w:sz w:val="24"/>
          <w:szCs w:val="24"/>
        </w:rPr>
        <w:t xml:space="preserve">Roteiro semiestruturado utilizado nas 14 entrevistas em profundidade conduzidas entre 18 e 25 de março de 2026. As perguntas são abertas. O nome da marca Devaneios de Sutil não foi revelado em momento algum durante a entrevista.</w:t>
      </w:r>
    </w:p>
    <w:p>
      <w:pPr>
        <w:spacing w:after="80" w:line="360"/>
        <w:jc w:val="both"/>
      </w:pPr>
      <w:r>
        <w:rPr>
          <w:rFonts w:ascii="Times New Roman" w:cs="Times New Roman" w:eastAsia="Times New Roman" w:hAnsi="Times New Roman"/>
          <w:sz w:val="24"/>
          <w:szCs w:val="24"/>
        </w:rPr>
        <w:t xml:space="preserve">1. Com que frequência você consome doces fora de casa? Em que situações isso costuma acontecer?</w:t>
      </w:r>
    </w:p>
    <w:p>
      <w:pPr>
        <w:spacing w:after="80" w:line="360"/>
        <w:jc w:val="both"/>
      </w:pPr>
      <w:r>
        <w:rPr>
          <w:rFonts w:ascii="Times New Roman" w:cs="Times New Roman" w:eastAsia="Times New Roman" w:hAnsi="Times New Roman"/>
          <w:sz w:val="24"/>
          <w:szCs w:val="24"/>
        </w:rPr>
        <w:t xml:space="preserve">2. Quando você está prestes a escolher um doce, o que mais pesa na sua decisão? (Sabor, preço, marca, aparência, recomendação, outro?)</w:t>
      </w:r>
    </w:p>
    <w:p>
      <w:pPr>
        <w:spacing w:after="80" w:line="360"/>
        <w:jc w:val="both"/>
      </w:pPr>
      <w:r>
        <w:rPr>
          <w:rFonts w:ascii="Times New Roman" w:cs="Times New Roman" w:eastAsia="Times New Roman" w:hAnsi="Times New Roman"/>
          <w:sz w:val="24"/>
          <w:szCs w:val="24"/>
        </w:rPr>
        <w:t xml:space="preserve">3. Você prefere doces artesanais ou industrializados? Por quê?</w:t>
      </w:r>
    </w:p>
    <w:p>
      <w:pPr>
        <w:spacing w:after="80" w:line="360"/>
        <w:jc w:val="both"/>
      </w:pPr>
      <w:r>
        <w:rPr>
          <w:rFonts w:ascii="Times New Roman" w:cs="Times New Roman" w:eastAsia="Times New Roman" w:hAnsi="Times New Roman"/>
          <w:sz w:val="24"/>
          <w:szCs w:val="24"/>
        </w:rPr>
        <w:t xml:space="preserve">4. Você costuma se importar com a origem dos ingredientes ou com o impacto socioambiental do que consome? Em que medida isso pesa na hora da compra de um doce?</w:t>
      </w:r>
    </w:p>
    <w:p>
      <w:pPr>
        <w:spacing w:after="80" w:line="360"/>
        <w:jc w:val="both"/>
      </w:pPr>
      <w:r>
        <w:rPr>
          <w:rFonts w:ascii="Times New Roman" w:cs="Times New Roman" w:eastAsia="Times New Roman" w:hAnsi="Times New Roman"/>
          <w:sz w:val="24"/>
          <w:szCs w:val="24"/>
        </w:rPr>
        <w:t xml:space="preserve">5. Você pagaria mais por um doce que seja comprovadamente sustentável? Quanto a mais?</w:t>
      </w:r>
    </w:p>
    <w:p>
      <w:pPr>
        <w:spacing w:after="80" w:line="360"/>
        <w:jc w:val="both"/>
      </w:pPr>
      <w:r>
        <w:rPr>
          <w:rFonts w:ascii="Times New Roman" w:cs="Times New Roman" w:eastAsia="Times New Roman" w:hAnsi="Times New Roman"/>
          <w:sz w:val="24"/>
          <w:szCs w:val="24"/>
        </w:rPr>
        <w:t xml:space="preserve">6. O que faria você confiar de fato em uma marca de alimentos que se diz sustentável?</w:t>
      </w:r>
    </w:p>
    <w:p>
      <w:pPr>
        <w:spacing w:after="80" w:line="360"/>
        <w:jc w:val="both"/>
      </w:pPr>
      <w:r>
        <w:rPr>
          <w:rFonts w:ascii="Times New Roman" w:cs="Times New Roman" w:eastAsia="Times New Roman" w:hAnsi="Times New Roman"/>
          <w:sz w:val="24"/>
          <w:szCs w:val="24"/>
        </w:rPr>
        <w:t xml:space="preserve">7. Como você costuma descobrir marcas novas de doces? (Indicação, Instagram, eventos, outro?)</w:t>
      </w:r>
    </w:p>
    <w:p>
      <w:pPr>
        <w:spacing w:after="80" w:line="360"/>
        <w:jc w:val="both"/>
      </w:pPr>
      <w:r>
        <w:rPr>
          <w:rFonts w:ascii="Times New Roman" w:cs="Times New Roman" w:eastAsia="Times New Roman" w:hAnsi="Times New Roman"/>
          <w:sz w:val="24"/>
          <w:szCs w:val="24"/>
        </w:rPr>
        <w:t xml:space="preserve">8. O que faria você compartilhar uma marca de doces nas suas redes sociais?</w:t>
      </w:r>
    </w:p>
    <w:p>
      <w:pPr>
        <w:spacing w:after="240" w:line="360"/>
        <w:jc w:val="both"/>
      </w:pPr>
      <w:r>
        <w:rPr>
          <w:rFonts w:ascii="Times New Roman" w:cs="Times New Roman" w:eastAsia="Times New Roman" w:hAnsi="Times New Roman"/>
          <w:sz w:val="24"/>
          <w:szCs w:val="24"/>
        </w:rPr>
        <w:t xml:space="preserve">9. Se eu dissesse a você 'doces além da confeitaria', o que vem à sua cabeça? O que esperaria de uma marca assim?</w:t>
      </w:r>
    </w:p>
    <w:p>
      <w:pPr>
        <w:pStyle w:val="Heading2"/>
        <w:spacing w:after="200" w:before="360" w:line="360"/>
      </w:pPr>
      <w:r>
        <w:rPr>
          <w:rFonts w:ascii="Times New Roman" w:cs="Times New Roman" w:eastAsia="Times New Roman" w:hAnsi="Times New Roman"/>
          <w:b/>
          <w:bCs/>
          <w:sz w:val="26"/>
          <w:szCs w:val="26"/>
        </w:rPr>
        <w:t xml:space="preserve">Anexo II. Quadro Descritivo das Entrevistas</w:t>
      </w:r>
    </w:p>
    <w:p>
      <w:pPr>
        <w:spacing w:after="120" w:line="360"/>
        <w:jc w:val="both"/>
      </w:pPr>
      <w:r>
        <w:rPr>
          <w:rFonts w:ascii="Times New Roman" w:cs="Times New Roman" w:eastAsia="Times New Roman" w:hAnsi="Times New Roman"/>
          <w:sz w:val="24"/>
          <w:szCs w:val="24"/>
        </w:rPr>
        <w:t xml:space="preserve">O quadro abaixo lista os 14 entrevistados, seu perfil e o entrevistador responsável por cada conversa. Uma entrevista foi descartada da análise por baixa qualidade de áudio (Antônio).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00"/>
        <w:gridCol w:w="1400"/>
        <w:gridCol w:w="1700"/>
        <w:gridCol w:w="2871"/>
      </w:tblGrid>
      <w:tr>
        <w:trPr>
          <w:tblHeader/>
        </w:trPr>
        <w:tc>
          <w:tcPr>
            <w:tcW w:type="dxa" w:w="1500"/>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0"/>
                <w:szCs w:val="20"/>
              </w:rPr>
              <w:t xml:space="preserve">Entrevistado</w:t>
            </w:r>
          </w:p>
        </w:tc>
        <w:tc>
          <w:tcPr>
            <w:tcW w:type="dxa" w:w="900"/>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0"/>
                <w:szCs w:val="20"/>
              </w:rPr>
              <w:t xml:space="preserve">Idade</w:t>
            </w:r>
          </w:p>
        </w:tc>
        <w:tc>
          <w:tcPr>
            <w:tcW w:type="dxa" w:w="700"/>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0"/>
                <w:szCs w:val="20"/>
              </w:rPr>
              <w:t xml:space="preserve">Gênero</w:t>
            </w:r>
          </w:p>
        </w:tc>
        <w:tc>
          <w:tcPr>
            <w:tcW w:type="dxa" w:w="1400"/>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0"/>
                <w:szCs w:val="20"/>
              </w:rPr>
              <w:t xml:space="preserve">Modalidade</w:t>
            </w:r>
          </w:p>
        </w:tc>
        <w:tc>
          <w:tcPr>
            <w:tcW w:type="dxa" w:w="1700"/>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0"/>
                <w:szCs w:val="20"/>
              </w:rPr>
              <w:t xml:space="preserve">Duração</w:t>
            </w:r>
          </w:p>
        </w:tc>
        <w:tc>
          <w:tcPr>
            <w:tcW w:type="dxa" w:w="2871"/>
            <w:tcBorders>
              <w:top w:val="single" w:color="5C5C5C" w:sz="6"/>
              <w:left w:val="single" w:color="5C5C5C" w:sz="6"/>
              <w:bottom w:val="single" w:color="5C5C5C" w:sz="6"/>
              <w:right w:val="single" w:color="5C5C5C" w:sz="6"/>
            </w:tcBorders>
            <w:shd w:fill="E8DDC6" w:val="clear"/>
            <w:tcMar>
              <w:top w:type="dxa" w:w="100"/>
              <w:left w:type="dxa" w:w="140"/>
              <w:bottom w:type="dxa" w:w="100"/>
              <w:right w:type="dxa" w:w="140"/>
            </w:tcMar>
          </w:tcPr>
          <w:p>
            <w:pPr>
              <w:jc w:val="center"/>
            </w:pPr>
            <w:r>
              <w:rPr>
                <w:rFonts w:ascii="Times New Roman" w:cs="Times New Roman" w:eastAsia="Times New Roman" w:hAnsi="Times New Roman"/>
                <w:b/>
                <w:bCs/>
                <w:sz w:val="20"/>
                <w:szCs w:val="20"/>
              </w:rPr>
              <w:t xml:space="preserve">Entrevistador</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Mariana</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19</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F</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Online</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2:14</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Arthur Malucelli</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Melissa</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20</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F</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FGV</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3:02</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Arthur Malucelli</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João Paulo</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18</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campus</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1:48</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João Paulo Bicudo</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Joaquim</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19</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FGV</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2:55</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Joaquim Ramos</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Maria</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18</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F</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Online</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4:10</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Caio Murari</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Antônio</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21</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campus</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Caio Murari (descartado)</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José</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20</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FGV</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3:22</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João Alvares</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Rony</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20</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FGV</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2:30</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João Alvares</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Matheus</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19</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campus</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3:48</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Matheus Scigliano</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Alexandre</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20</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Online</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1:10</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Matheus Scigliano</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Manuela</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18</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F</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campus</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5:24</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João Pedro Humberg</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Bernardo</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18</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campus</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4:02</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João Pedro Humberg</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Felipe</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18</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Presencial FGV</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2:58</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Joaquim Ramos</w:t>
            </w:r>
          </w:p>
        </w:tc>
      </w:tr>
      <w:tr>
        <w:tc>
          <w:tcPr>
            <w:tcW w:type="dxa" w:w="15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Gustavo</w:t>
            </w:r>
          </w:p>
        </w:tc>
        <w:tc>
          <w:tcPr>
            <w:tcW w:type="dxa" w:w="9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21</w:t>
            </w:r>
          </w:p>
        </w:tc>
        <w:tc>
          <w:tcPr>
            <w:tcW w:type="dxa" w:w="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M</w:t>
            </w:r>
          </w:p>
        </w:tc>
        <w:tc>
          <w:tcPr>
            <w:tcW w:type="dxa" w:w="14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Online</w:t>
            </w:r>
          </w:p>
        </w:tc>
        <w:tc>
          <w:tcPr>
            <w:tcW w:type="dxa" w:w="1700"/>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2:45</w:t>
            </w:r>
          </w:p>
        </w:tc>
        <w:tc>
          <w:tcPr>
            <w:tcW w:type="dxa" w:w="2871"/>
            <w:tcBorders>
              <w:top w:val="single" w:color="5C5C5C" w:sz="6"/>
              <w:left w:val="single" w:color="5C5C5C" w:sz="6"/>
              <w:bottom w:val="single" w:color="5C5C5C" w:sz="6"/>
              <w:right w:val="single" w:color="5C5C5C" w:sz="6"/>
            </w:tcBorders>
            <w:tcMar>
              <w:top w:type="dxa" w:w="100"/>
              <w:left w:type="dxa" w:w="140"/>
              <w:bottom w:type="dxa" w:w="100"/>
              <w:right w:type="dxa" w:w="140"/>
            </w:tcMar>
          </w:tcPr>
          <w:p>
            <w:pPr>
              <w:spacing w:line="276"/>
              <w:jc w:val="left"/>
            </w:pPr>
            <w:r>
              <w:rPr>
                <w:rFonts w:ascii="Times New Roman" w:cs="Times New Roman" w:eastAsia="Times New Roman" w:hAnsi="Times New Roman"/>
                <w:b w:val="false"/>
                <w:bCs w:val="false"/>
                <w:sz w:val="20"/>
                <w:szCs w:val="20"/>
              </w:rPr>
              <w:t xml:space="preserve">João Paulo Bicudo</w:t>
            </w:r>
          </w:p>
        </w:tc>
      </w:tr>
    </w:tbl>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after="200" w:before="360" w:line="360"/>
      <w:outlineLvl w:val="1"/>
    </w:pPr>
    <w:rPr>
      <w:rFonts w:ascii="Times New Roman" w:cs="Times New Roman" w:eastAsia="Times New Roman" w:hAnsi="Times New Roman"/>
      <w:b/>
      <w:bCs/>
      <w:color w:val="1A1A1A"/>
      <w:sz w:val="26"/>
      <w:szCs w:val="26"/>
    </w:rPr>
  </w:style>
  <w:style w:type="paragraph" w:styleId="Heading3">
    <w:name w:val="Heading 3"/>
    <w:basedOn w:val="Normal"/>
    <w:next w:val="Normal"/>
    <w:qFormat/>
    <w:pPr>
      <w:spacing w:after="160" w:before="240" w:line="360"/>
      <w:outlineLvl w:val="2"/>
    </w:pPr>
    <w:rPr>
      <w:rFonts w:ascii="Times New Roman" w:cs="Times New Roman" w:eastAsia="Times New Roman" w:hAnsi="Times New Roman"/>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Trilha de Origem · Devaneios de Sutil</dc:title>
  <dc:creator>Grupo Devaneios · FGV EAESP</dc:creator>
  <cp:lastModifiedBy>Un-named</cp:lastModifiedBy>
  <cp:revision>1</cp:revision>
  <dcterms:created xsi:type="dcterms:W3CDTF">2026-05-13T18:32:32.422Z</dcterms:created>
  <dcterms:modified xsi:type="dcterms:W3CDTF">2026-05-13T18:32:32.423Z</dcterms:modified>
</cp:coreProperties>
</file>

<file path=docProps/custom.xml><?xml version="1.0" encoding="utf-8"?>
<Properties xmlns="http://schemas.openxmlformats.org/officeDocument/2006/custom-properties" xmlns:vt="http://schemas.openxmlformats.org/officeDocument/2006/docPropsVTypes"/>
</file>