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9D8EA" w14:textId="77777777" w:rsidR="00195DED" w:rsidRDefault="00195DED">
      <w:pPr>
        <w:jc w:val="center"/>
      </w:pPr>
    </w:p>
    <w:p w14:paraId="44236B3D" w14:textId="790F0F7F" w:rsidR="00195DED" w:rsidRDefault="00195DED">
      <w:pPr>
        <w:jc w:val="center"/>
        <w:rPr>
          <w:b/>
        </w:rPr>
      </w:pPr>
      <w:r>
        <w:rPr>
          <w:b/>
        </w:rPr>
        <w:t>CASO CHEMALITE</w:t>
      </w:r>
    </w:p>
    <w:p w14:paraId="1DD5E206" w14:textId="77777777" w:rsidR="00195DED" w:rsidRDefault="00195DED">
      <w:pPr>
        <w:jc w:val="center"/>
      </w:pPr>
    </w:p>
    <w:p w14:paraId="314CB202" w14:textId="59C9DA1D" w:rsidR="00195DED" w:rsidRDefault="00916AB8">
      <w:pPr>
        <w:jc w:val="center"/>
        <w:rPr>
          <w:b/>
        </w:rPr>
      </w:pPr>
      <w:r>
        <w:rPr>
          <w:b/>
        </w:rPr>
        <w:t>Estudo Dirigido (atividade em grupo)</w:t>
      </w:r>
    </w:p>
    <w:p w14:paraId="26667F9C" w14:textId="77777777" w:rsidR="00390F18" w:rsidRDefault="00390F18" w:rsidP="00390F18">
      <w:pPr>
        <w:rPr>
          <w:b/>
          <w:color w:val="FF0000"/>
        </w:rPr>
      </w:pPr>
    </w:p>
    <w:p w14:paraId="547533F0" w14:textId="310718B0" w:rsidR="00390F18" w:rsidRDefault="00390F18" w:rsidP="00390F18">
      <w:pPr>
        <w:rPr>
          <w:bCs/>
        </w:rPr>
      </w:pPr>
      <w:r>
        <w:rPr>
          <w:b/>
          <w:color w:val="FF0000"/>
        </w:rPr>
        <w:t xml:space="preserve">ATENÇÃO: </w:t>
        <w:br/>
      </w:r>
      <w:r>
        <w:rPr>
          <w:bCs/>
        </w:rPr>
        <w:t xml:space="preserve">Se o grupo utilizar IA para apoiar suas respostas, indicar a IA utilizada, incluir o prompt usado para fazer as perguntas e uma reflexão do grupo sobre cada resposta fornecida pela IA.</w:t>
      </w:r>
    </w:p>
    <w:p w14:paraId="36C36B09" w14:textId="01EE0CDE" w:rsidR="00A404CA" w:rsidRDefault="00A404CA" w:rsidP="00390F18">
      <w:pPr>
        <w:rPr>
          <w:bCs/>
        </w:rPr>
      </w:pPr>
    </w:p>
    <w:p w14:paraId="3951AC3B" w14:textId="60892403" w:rsidR="00342815" w:rsidRPr="00342815" w:rsidRDefault="00801DC4" w:rsidP="00A404CA">
      <w:pPr>
        <w:numPr>
          <w:ilvl w:val="0"/>
          <w:numId w:val="2"/>
        </w:numPr>
        <w:spacing w:before="120"/>
        <w:rPr>
          <w:bCs/>
        </w:rPr>
      </w:pPr>
      <w:r>
        <w:t xml:space="preserve">No caso Chemalite, Alexander coloca a patente como sua parte no capital da empresa. Na situação específica, a patente atende aos requisitos para reconhecimento de um ativo na Contabilidade? Justifique, indicando </w:t>
      </w:r>
      <w:r>
        <w:rPr>
          <w:b/>
          <w:bCs/>
        </w:rPr>
        <w:t>quais são os requisitos para reconhecimento e um ativo na contabilidade</w:t>
      </w:r>
      <w:r>
        <w:t xml:space="preserve"> financeira e </w:t>
      </w:r>
      <w:r>
        <w:rPr>
          <w:b/>
          <w:bCs/>
        </w:rPr>
        <w:t>quais são ou não atendidos</w:t>
      </w:r>
      <w:r>
        <w:t>.</w:t>
      </w:r>
    </w:p>
    <w:p w14:paraId="71010001" w14:textId="71010001" w:rsidR="00195DED" w:rsidRDefault="00195DED">
      <w:pPr>
        <w:spacing w:before="60" w:after="120"/>
        <w:ind w:left="709"/>
      </w:pPr>
      <w:r>
        <w:rPr>
          <w:b/>
          <w:bCs/>
          <w:color w:val="1F4E78"/>
        </w:rPr>
        <w:t xml:space="preserve">Resposta: </w:t>
      </w:r>
      <w:r>
        <w:t>Sim. A patente deve ser reconhecida como ativo intangível da Chemalite por $125.000, com contrapartida no capital social. Para reconhecer um ativo, deve existir um recurso resultante de evento passado, controlado pela entidade, capaz de gerar benefícios econômicos futuros e mensurável com confiabilidade. A patente atende a esses requisitos: a transferência feita por Alexander é o evento passado; a empresa passa a controlar o direito legal de exploração; as vendas esperadas indicam benefícios futuros; e o valor pode ser mensurado com base nas 125.000 ações entregues a Alexander, pois as demais ações foram vendidas a $1 cada. Além disso, a patente é identificável e não possui substância física, portanto é classificada como intangível.</w:t>
      </w:r>
    </w:p>
    <w:p w14:paraId="73B73CDA" w14:textId="6E950120" w:rsidR="00342815" w:rsidRDefault="00342815" w:rsidP="00A404CA">
      <w:pPr>
        <w:numPr>
          <w:ilvl w:val="0"/>
          <w:numId w:val="2"/>
        </w:numPr>
        <w:spacing w:before="120"/>
        <w:rPr>
          <w:bCs/>
        </w:rPr>
      </w:pPr>
      <w:r>
        <w:rPr>
          <w:bCs/>
        </w:rPr>
        <w:t>Como devem ser tratados os $7.500 de gastos com a abertura da empresa? Justifique.</w:t>
      </w:r>
    </w:p>
    <w:p w14:paraId="71020002" w14:textId="71020002" w:rsidR="00195DED" w:rsidRDefault="00195DED">
      <w:pPr>
        <w:spacing w:before="60" w:after="120"/>
        <w:ind w:left="709"/>
      </w:pPr>
      <w:r>
        <w:rPr>
          <w:b/>
          <w:bCs/>
          <w:color w:val="1F4E78"/>
        </w:rPr>
        <w:t xml:space="preserve">Resposta: </w:t>
      </w:r>
      <w:r>
        <w:t>Os $7.500 devem ser reconhecidos como despesa no período da abertura. Os honorários advocatícios, fretes e gastos de impressão associados à constituição da empresa não criam um recurso separável e controlado que continue gerando benefícios econômicos futuros. O desembolso reduz o caixa e o resultado, mas não forma um ativo. Assim, o lançamento é débito em despesa de abertura e crédito em caixa, no valor de $7.500.</w:t>
      </w:r>
    </w:p>
    <w:p w14:paraId="373F2F91" w14:textId="6A223487" w:rsidR="00342815" w:rsidRDefault="00342815" w:rsidP="00A404CA">
      <w:pPr>
        <w:numPr>
          <w:ilvl w:val="0"/>
          <w:numId w:val="2"/>
        </w:numPr>
        <w:spacing w:before="120"/>
        <w:rPr>
          <w:bCs/>
        </w:rPr>
      </w:pPr>
      <w:r>
        <w:rPr>
          <w:bCs/>
        </w:rPr>
        <w:t>Como devem ser tratados os protótipos? Justifique.</w:t>
      </w:r>
    </w:p>
    <w:p w14:paraId="71030003" w14:textId="71030003" w:rsidR="00195DED" w:rsidRDefault="00195DED">
      <w:pPr>
        <w:spacing w:before="60" w:after="120"/>
        <w:ind w:left="709"/>
      </w:pPr>
      <w:r>
        <w:rPr>
          <w:b/>
          <w:bCs/>
          <w:color w:val="1F4E78"/>
        </w:rPr>
        <w:t xml:space="preserve">Resposta: </w:t>
      </w:r>
      <w:r>
        <w:t>Os $23.750 pagos ao engenheiro pelos protótipos devem ser reconhecidos como despesa de desenvolvimento no período. O caso não comprova que, na data do gasto, todos os requisitos necessários para capitalizar o desenvolvimento já estavam satisfeitos, como viabilidade técnica demonstrada, capacidade de concluir e comercializar o produto e benefícios futuros suficientemente comprovados. Também não informa um uso futuro alternativo para os protótipos. O fato de eles terem contribuído para o produto vendido posteriormente não permite capitalização retroativa. O lançamento é débito em despesa de desenvolvimento e crédito em caixa, no valor de $23.750.</w:t>
      </w:r>
    </w:p>
    <w:p w14:paraId="25B4CAEB" w14:textId="00CE2724" w:rsidR="00342815" w:rsidRPr="00342815" w:rsidRDefault="00342815" w:rsidP="00A404CA">
      <w:pPr>
        <w:numPr>
          <w:ilvl w:val="0"/>
          <w:numId w:val="2"/>
        </w:numPr>
        <w:spacing w:before="120"/>
        <w:rPr>
          <w:bCs/>
        </w:rPr>
      </w:pPr>
      <w:r>
        <w:rPr>
          <w:bCs/>
        </w:rPr>
        <w:t xml:space="preserve">No item 4 dos ajustes finais para apuração das DFs, </w:t>
      </w:r>
      <w:r>
        <w:t xml:space="preserve">há a informação de que "Alexander está um tanto confuso sobre o valor dos protótipos”. </w:t>
        <w:br/>
        <w:t>O que Alexander deve fazer com o valor dos Protótipos? Justifique.</w:t>
      </w:r>
    </w:p>
    <w:p w14:paraId="71040004" w14:textId="71040004" w:rsidR="00195DED" w:rsidRDefault="00195DED">
      <w:pPr>
        <w:spacing w:before="60" w:after="120"/>
        <w:ind w:left="709"/>
      </w:pPr>
      <w:r>
        <w:rPr>
          <w:b/>
          <w:bCs/>
          <w:color w:val="1F4E78"/>
        </w:rPr>
        <w:t xml:space="preserve">Resposta: </w:t>
      </w:r>
      <w:r>
        <w:t>Alexander não deve elevar o valor contábil dos protótipos. A percepção de que eles se tornaram mais valiosos após o sucesso do produto não constitui uma mensuração objetiva nem um ganho realizado. Como o gasto foi reconhecido como despesa, não existe saldo de ativo a reavaliar; o sucesso posterior também não permite recuperar retroativamente essa despesa e levá-la ao balanço. Portanto, não há lançamento adicional. Mesmo se houvesse capitalização válida, o valor partiria do custo, sujeito à amortização e a eventual perda, não de uma estimativa subjetiva de valorização.</w:t>
      </w:r>
    </w:p>
    <w:p w14:paraId="4C4C76A0" w14:textId="04BA310F" w:rsidR="00342815" w:rsidRDefault="00342815" w:rsidP="00342815">
      <w:pPr>
        <w:numPr>
          <w:ilvl w:val="0"/>
          <w:numId w:val="2"/>
        </w:numPr>
        <w:spacing w:before="120"/>
        <w:ind w:left="709" w:hanging="349"/>
      </w:pPr>
      <w:r>
        <w:t xml:space="preserve">No item 3 dos ajustes finais, é mencionado que </w:t>
        <w:br/>
      </w:r>
      <w:r>
        <w:rPr>
          <w:i/>
          <w:iCs/>
        </w:rPr>
        <w:t>"embora a patente tenha uma vigência legal de 20 anos, ele esperava que concorrentes desenvolvessem produtos equivalentes que não utilizam a técnica patenteada em cerca de 5 anos."</w:t>
      </w:r>
      <w:r>
        <w:t xml:space="preserve"> </w:t>
        <w:br/>
        <w:t>Qual vida útil deve ser usada para amortizar a patente? Justifique.</w:t>
      </w:r>
    </w:p>
    <w:p w14:paraId="71050005" w14:textId="71050005" w:rsidR="00195DED" w:rsidRDefault="00195DED">
      <w:pPr>
        <w:spacing w:before="60" w:after="120"/>
        <w:ind w:left="709"/>
      </w:pPr>
      <w:r>
        <w:rPr>
          <w:b/>
          <w:bCs/>
          <w:color w:val="1F4E78"/>
        </w:rPr>
        <w:t xml:space="preserve">Resposta: </w:t>
      </w:r>
      <w:r>
        <w:t>A patente deve ser amortizada em 5 anos. Os 20 anos representam sua vigência legal máxima, mas a vida útil contábil deve refletir o período durante o qual a empresa espera obter benefícios econômicos. Como se espera que produtos equivalentes reduzam esses benefícios em cerca de 5 anos, esse é o prazo relevante. Na ausência de outro padrão de consumo dos benefícios, aplica-se o método linear: $125.000 divididos por 5 anos, ou $25.000 por ano completo, a partir do momento em que a patente estiver disponível para uso.</w:t>
      </w:r>
    </w:p>
    <w:p w14:paraId="6655C88C" w14:textId="015A2A34" w:rsidR="00195DED" w:rsidRDefault="00195DED" w:rsidP="00A404CA">
      <w:pPr>
        <w:spacing w:before="120"/>
        <w:jc w:val="center"/>
        <w:rPr>
          <w:b/>
        </w:rPr>
      </w:pPr>
    </w:p>
    <w:p w14:paraId="7B11B1FA" w14:textId="77777777" w:rsidR="00390F18" w:rsidRDefault="00390F18" w:rsidP="00A404CA">
      <w:pPr>
        <w:spacing w:before="120"/>
        <w:jc w:val="center"/>
        <w:rPr>
          <w:b/>
        </w:rPr>
      </w:pPr>
    </w:p>
    <w:p w14:paraId="2584A064" w14:textId="77777777" w:rsidR="00195DED" w:rsidRDefault="00195DED"/>
    <w:sectPr w:rsidR="00195DED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9158D" w14:textId="77777777" w:rsidR="004059E1" w:rsidRDefault="004059E1">
      <w:r>
        <w:separator/>
      </w:r>
    </w:p>
  </w:endnote>
  <w:endnote w:type="continuationSeparator" w:id="0">
    <w:p w14:paraId="64C503BA" w14:textId="77777777" w:rsidR="004059E1" w:rsidRDefault="004059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DA6E3D" w14:textId="77777777" w:rsidR="004059E1" w:rsidRDefault="004059E1">
      <w:r>
        <w:separator/>
      </w:r>
    </w:p>
  </w:footnote>
  <w:footnote w:type="continuationSeparator" w:id="0">
    <w:p w14:paraId="2D54290E" w14:textId="77777777" w:rsidR="004059E1" w:rsidRDefault="004059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059F17" w14:textId="77777777" w:rsidR="00195DED" w:rsidRDefault="00195DED">
    <w:pPr>
      <w:pStyle w:val="Cabealho"/>
      <w:jc w:val="right"/>
    </w:pPr>
    <w:r>
      <w:t>Profa. Edilene Santana Santos</w:t>
    </w:r>
  </w:p>
  <w:p w14:paraId="4DB50262" w14:textId="77777777" w:rsidR="00195DED" w:rsidRDefault="00195DED">
    <w:pPr>
      <w:pStyle w:val="Cabealho"/>
      <w:jc w:val="right"/>
    </w:pPr>
    <w:r>
      <w:t>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15991"/>
    <w:multiLevelType w:val="hybridMultilevel"/>
    <w:tmpl w:val="A058E1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6A4141"/>
    <w:multiLevelType w:val="hybridMultilevel"/>
    <w:tmpl w:val="59E63652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E0D72E">
      <w:start w:val="1"/>
      <w:numFmt w:val="bullet"/>
      <w:lvlText w:val="­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30C"/>
    <w:rsid w:val="000E4038"/>
    <w:rsid w:val="00195DED"/>
    <w:rsid w:val="0027481B"/>
    <w:rsid w:val="00342815"/>
    <w:rsid w:val="00390F18"/>
    <w:rsid w:val="004059E1"/>
    <w:rsid w:val="00405DB3"/>
    <w:rsid w:val="00425714"/>
    <w:rsid w:val="00633E69"/>
    <w:rsid w:val="006C5B9B"/>
    <w:rsid w:val="007E030A"/>
    <w:rsid w:val="007E1CC0"/>
    <w:rsid w:val="00801DC4"/>
    <w:rsid w:val="00916AB8"/>
    <w:rsid w:val="00A404CA"/>
    <w:rsid w:val="00B36864"/>
    <w:rsid w:val="00BF6772"/>
    <w:rsid w:val="00C346A2"/>
    <w:rsid w:val="00D536A4"/>
    <w:rsid w:val="00EA130C"/>
    <w:rsid w:val="00F5702F"/>
    <w:rsid w:val="00FE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D78447E"/>
  <w15:chartTrackingRefBased/>
  <w15:docId w15:val="{C90B31D7-C5C0-45A1-9025-56F185F52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199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 CHEMALITE, Inc</vt:lpstr>
    </vt:vector>
  </TitlesOfParts>
  <Company>FGV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CHEMALITE, Inc</dc:title>
  <dc:subject/>
  <dc:creator>Edilene</dc:creator>
  <cp:keywords/>
  <dc:description/>
  <cp:lastModifiedBy>Edilene Santana Santos</cp:lastModifiedBy>
  <cp:revision>7</cp:revision>
  <dcterms:created xsi:type="dcterms:W3CDTF">2026-03-10T17:34:00Z</dcterms:created>
  <dcterms:modified xsi:type="dcterms:W3CDTF">2026-03-10T17:37:00Z</dcterms:modified>
</cp:coreProperties>
</file>