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8"/>
          <w:sz w:val="30"/>
        </w:rPr>
        <w:t>RELATÓRIO — ATIVIDADE MONITORADA 1</w:t>
      </w:r>
    </w:p>
    <w:p>
      <w:pPr>
        <w:spacing w:after="80"/>
        <w:jc w:val="center"/>
      </w:pPr>
      <w:r>
        <w:rPr>
          <w:rFonts w:ascii="Arial" w:hAnsi="Arial"/>
          <w:b/>
          <w:sz w:val="24"/>
        </w:rPr>
        <w:t>Sabor &amp; Cia — Alimentos Ltda.</w:t>
      </w:r>
    </w:p>
    <w:p>
      <w:pPr>
        <w:spacing w:after="100"/>
        <w:jc w:val="center"/>
      </w:pPr>
      <w:r>
        <w:rPr>
          <w:sz w:val="17"/>
        </w:rPr>
        <w:t>Grupo 5: Arthur Gomes Malucelli • Artur Ferreira Santos Lemos • Caio Pupo Murari • João Paulo de Almeida Bastos Bicudo • Matheus Scigliano Dabbur Moreira</w:t>
      </w:r>
    </w:p>
    <w:p>
      <w:pPr>
        <w:pStyle w:val="Section"/>
        <w:keepNext/>
      </w:pPr>
      <w:r>
        <w:t>a) Diagnóstico</w:t>
      </w:r>
    </w:p>
    <w:p>
      <w:pPr>
        <w:spacing w:after="60"/>
      </w:pPr>
      <w:r>
        <w:t>O problema central não é a ausência de um único software, mas a fragmentação de processos, dados e responsabilidades. A solução deve combinar sistemas especializados, integrados por APIs, com uma fonte confiável de dados e governança comum. O ERP pode sustentar o registro operacional, mas não substitui as funções específicas de SCM, CRM, BI e Gestão do Conhecimento.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Sintoma</w:t>
            </w:r>
          </w:p>
        </w:tc>
        <w:tc>
          <w:tcPr>
            <w:tcW w:type="dxa" w:w="1701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Sistema indicado</w:t>
            </w:r>
          </w:p>
        </w:tc>
        <w:tc>
          <w:tcPr>
            <w:tcW w:type="dxa" w:w="6123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Como resolve</w:t>
            </w:r>
          </w:p>
        </w:tc>
      </w:tr>
      <w:tr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Estoque em Excel, divergente entre sistema e físico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SCM + módulo de estoque do ERP</w:t>
            </w:r>
          </w:p>
        </w:tc>
        <w:tc>
          <w:tcPr>
            <w:tcW w:type="dxa" w:w="612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Registrar movimentações por fábrica em tempo real; padronizar cadastros de SKU, lotes e validade; manter uma única posição de estoque. O SCM usa essa base para reposição e planejamento.</w:t>
            </w:r>
          </w:p>
        </w:tc>
      </w:tr>
      <w:tr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Rupturas, excesso de perecíveis, perdas e atrasos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SCM</w:t>
            </w:r>
          </w:p>
        </w:tc>
        <w:tc>
          <w:tcPr>
            <w:tcW w:type="dxa" w:w="612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Planejar demanda e abastecimento, definir estoques de segurança, rastrear lotes/validade e coordenar fábricas, centros de distribuição e transporte. A literatura destaca integração e compartilhamento de informação como capacidades centrais do SCM (Kakhki &amp; Gargeya, 2019).</w:t>
            </w:r>
          </w:p>
        </w:tc>
      </w:tr>
      <w:tr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Contatos no caderno/WhatsApp e relacionamento levado por vendedores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CRM</w:t>
            </w:r>
          </w:p>
        </w:tc>
        <w:tc>
          <w:tcPr>
            <w:tcW w:type="dxa" w:w="612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Centralizar clientes, prospects, interações, pedidos e reclamações; criar memória institucional da conta, pipeline e segmentação. Assim, o relacionamento pertence à empresa e continua quando um vendedor sai (Soltani &amp; Jafari Navimipour, 2016).</w:t>
            </w:r>
          </w:p>
        </w:tc>
      </w:tr>
      <w:tr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Relatórios levam dias e apresentam números incompatíveis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BI + governança de dados</w:t>
            </w:r>
          </w:p>
        </w:tc>
        <w:tc>
          <w:tcPr>
            <w:tcW w:type="dxa" w:w="612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Consolidar dados validados em painéis com definições únicas de receita, estoque, perdas e nível de serviço. O BI analisa; não corrige dados ruins na origem. A adoção e o uso efetivo são condições para capturar valor (Ain et al., 2019).</w:t>
            </w:r>
          </w:p>
        </w:tc>
      </w:tr>
      <w:tr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Aposentadoria de gerentes eliminou conhecimento de produção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Gestão do Conhecimento (KMS)</w:t>
            </w:r>
          </w:p>
        </w:tc>
        <w:tc>
          <w:tcPr>
            <w:tcW w:type="dxa" w:w="612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Capturar procedimentos, soluções de falhas e lições aprendidas em base pesquisável, vídeos e checklists; validar conteúdo com especialistas e incorporar atualização à rotina. Engajamento, cultura e apoio gerencial são fatores críticos (Alam et al., 2025).</w:t>
            </w:r>
          </w:p>
        </w:tc>
      </w:tr>
    </w:tbl>
    <w:p>
      <w:pPr>
        <w:spacing w:after="0"/>
      </w:pPr>
    </w:p>
    <w:p>
      <w:pPr>
        <w:pStyle w:val="Section"/>
        <w:keepNext/>
      </w:pPr>
      <w:r>
        <w:t>b) Priorização: implementar o SCM primeiro</w:t>
      </w:r>
    </w:p>
    <w:p>
      <w:r>
        <w:t>A primeira etapa deve privilegiar Operações e Cadeia de Suprimentos, com um SCM em nuvem focado em estoque, planejamento de demanda, reposição, lotes/validade e logística. Essa escolha ataca os prejuízos mais imediatos do caso: descarte de perecíveis, vendas perdidas por ruptura, atrasos e capital imobilizado. Também cria dados operacionais confiáveis para o BI e reduz o risco de informatizar processos inconsistentes.</w:t>
      </w:r>
    </w:p>
    <w:p>
      <w:r>
        <w:t>Não recomendamos um ERP completo em formato “big bang” no primeiro ano: o orçamento é limitado, a implantação é longa e exige redesenho de processos, migração e mudança organizacional. Uma revisão de 126 publicações identifica implementação, integração, participação dos usuários, tomada de decisão e gestão de riscos entre as principais preocupações associadas a ERP (Martins &amp; Belfo, 2023). O sistema de faturamento atual pode permanecer temporariamente, integrado ao SCM por API, enquanto se avalia uma evolução modular do ERP.</w:t>
      </w:r>
    </w:p>
    <w:p>
      <w:pPr>
        <w:pStyle w:val="CompactBullet"/>
      </w:pPr>
      <w:r>
        <w:t>Fase 1 — Preparação (0–2 meses): mapear processos, definir donos dos dados, padronizar SKU/unidades/lotes/validade e realizar contagem física inicial.</w:t>
      </w:r>
    </w:p>
    <w:p>
      <w:pPr>
        <w:pStyle w:val="CompactBullet"/>
      </w:pPr>
      <w:r>
        <w:t>Fase 2 — Piloto (3–5 meses): implantar em uma fábrica e em um fluxo de distribuição, com integração ao faturamento e operação paralela curta para conferência.</w:t>
      </w:r>
    </w:p>
    <w:p>
      <w:pPr>
        <w:pStyle w:val="CompactBullet"/>
      </w:pPr>
      <w:r>
        <w:t>Fase 3 — Expansão (6–10 meses): corrigir falhas do piloto, treinar usuários-chave e ampliar para as outras duas fábricas e logística nacional.</w:t>
      </w:r>
    </w:p>
    <w:p>
      <w:pPr>
        <w:pStyle w:val="CompactBullet"/>
      </w:pPr>
      <w:r>
        <w:t>Fase 4 — Consolidação (11–12 meses): ativar painel básico de BI e formalizar rotina de melhoria. CRM e KMS entram na sequência; procedimentos críticos podem começar a ser documentados desde já, com baixo custo.</w:t>
      </w:r>
    </w:p>
    <w:p>
      <w:pPr>
        <w:pStyle w:val="Section"/>
        <w:keepNext/>
      </w:pPr>
      <w:r>
        <w:t>c) Riscos da implementação e respostas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2438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891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876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Dados incorretos ou incompletos (“garbage in, garbage out”)</w:t>
            </w:r>
          </w:p>
        </w:tc>
        <w:tc>
          <w:tcPr>
            <w:tcW w:type="dxa" w:w="28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Previsões e reposições erradas; o sistema apenas automatiza o erro.</w:t>
            </w:r>
          </w:p>
        </w:tc>
        <w:tc>
          <w:tcPr>
            <w:tcW w:type="dxa" w:w="48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Saneamento de cadastros, contagem física, regras de validação, responsáveis por dados e auditoria mensal.</w:t>
            </w:r>
          </w:p>
        </w:tc>
      </w:tr>
      <w:t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Resistência dos funcionários e uso paralelo de planilhas</w:t>
            </w:r>
          </w:p>
        </w:tc>
        <w:tc>
          <w:tcPr>
            <w:tcW w:type="dxa" w:w="28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Baixa adoção e retorno à fragmentação anterior.</w:t>
            </w:r>
          </w:p>
        </w:tc>
        <w:tc>
          <w:tcPr>
            <w:tcW w:type="dxa" w:w="48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Envolver usuários-chave no desenho, treinar por função, criar suporte local e medir adesão; descontinuar planilhas após estabilização.</w:t>
            </w:r>
          </w:p>
        </w:tc>
      </w:tr>
      <w:t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Integração falha com faturamento e sistemas legados</w:t>
            </w:r>
          </w:p>
        </w:tc>
        <w:tc>
          <w:tcPr>
            <w:tcW w:type="dxa" w:w="28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Pedidos duplicados, saldos divergentes e interrupção operacional.</w:t>
            </w:r>
          </w:p>
        </w:tc>
        <w:tc>
          <w:tcPr>
            <w:tcW w:type="dxa" w:w="48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APIs testadas, ambiente de homologação, reconciliação automática, piloto limitado e plano de contingência.</w:t>
            </w:r>
          </w:p>
        </w:tc>
      </w:tr>
      <w:t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Estouro de prazo, custo e escopo</w:t>
            </w:r>
          </w:p>
        </w:tc>
        <w:tc>
          <w:tcPr>
            <w:tcW w:type="dxa" w:w="28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Projeto incompleto ou sem benefício econômico.</w:t>
            </w:r>
          </w:p>
        </w:tc>
        <w:tc>
          <w:tcPr>
            <w:tcW w:type="dxa" w:w="48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MVP com escopo fechado, implantação por fases, marcos de decisão, reserva de contingência e controle de custo total de propriedade.</w:t>
            </w:r>
          </w:p>
        </w:tc>
      </w:tr>
      <w:t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Dependência do fornecedor, segurança e indisponibilidade</w:t>
            </w:r>
          </w:p>
        </w:tc>
        <w:tc>
          <w:tcPr>
            <w:tcW w:type="dxa" w:w="28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Lock-in, vazamento de dados ou parada da operação.</w:t>
            </w:r>
          </w:p>
        </w:tc>
        <w:tc>
          <w:tcPr>
            <w:tcW w:type="dxa" w:w="48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SLA, portabilidade contratual dos dados, padrões abertos, backups testados, perfis de acesso e plano de saída.</w:t>
            </w:r>
          </w:p>
        </w:tc>
      </w:tr>
      <w:t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Previsão de demanda inadequada</w:t>
            </w:r>
          </w:p>
        </w:tc>
        <w:tc>
          <w:tcPr>
            <w:tcW w:type="dxa" w:w="28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Excesso ou falta de produto mesmo com o SCM.</w:t>
            </w:r>
          </w:p>
        </w:tc>
        <w:tc>
          <w:tcPr>
            <w:tcW w:type="dxa" w:w="48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Revisão humana das previsões, segmentação por SKU, testes por família de produto e melhoria contínua do modelo.</w:t>
            </w:r>
          </w:p>
        </w:tc>
      </w:tr>
    </w:tbl>
    <w:p>
      <w:pPr>
        <w:spacing w:after="0"/>
      </w:pPr>
    </w:p>
    <w:p>
      <w:pPr>
        <w:pStyle w:val="Section"/>
        <w:keepNext/>
      </w:pPr>
      <w:r>
        <w:t>d) Indicadores mensais de sucesso (KPIs)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2324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3969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Cálculo</w:t>
            </w:r>
          </w:p>
        </w:tc>
        <w:tc>
          <w:tcPr>
            <w:tcW w:type="dxa" w:w="3912"/>
            <w:shd w:fill="1F4E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Interpretação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Acurácia do estoque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1 − |quantidade no sistema − quantidade física| / quantidade física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↑ Mede se o SCM se tornou a fonte confiável por SKU e fábrica.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Taxa de ruptura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Itens/localizações indisponíveis ÷ itens/localizações demandados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↓ Captura perda de venda e falha de reposição.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Perdas por vencimento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Valor descartado por validade ÷ valor produzido ou movimentado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↓ Conecta validade, excesso de estoque e impacto financeiro.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OTIF — entrega no prazo e completa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Pedidos entregues completos e no prazo ÷ total de pedidos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↑ Mede o nível de serviço logístico ao cliente.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Giro e cobertura de estoque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CMV ÷ estoque médio; e dias de estoque disponível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Otimizar por categoria, evitando excesso e falta.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Erro de previsão (MAPE)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Média de |real − previsto| / real, por SKU/família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↓ Verifica a qualidade do planejamento de demanda.</w:t>
            </w:r>
          </w:p>
        </w:tc>
      </w:tr>
      <w:tr>
        <w:tc>
          <w:tcPr>
            <w:tcW w:type="dxa" w:w="23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Tempo de fechamento do relatório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Horas/dias entre o fim do mês e o painel validado</w:t>
            </w:r>
          </w:p>
        </w:tc>
        <w:tc>
          <w:tcPr>
            <w:tcW w:type="dxa" w:w="3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↓ Demonstra ganho de integração e qualidade dos dados.</w:t>
            </w:r>
          </w:p>
        </w:tc>
      </w:tr>
    </w:tbl>
    <w:p>
      <w:pPr>
        <w:spacing w:after="0"/>
      </w:pPr>
    </w:p>
    <w:p>
      <w:r>
        <w:t>Antes do piloto, a Sabor &amp; Cia deve medir a linha de base de cada KPI. As metas numéricas só devem ser pactuadas após essa medição, para evitar objetivos arbitrários. O acompanhamento deve ser segmentado por fábrica, produto e canal, com um responsável e plano de ação para desvios.</w:t>
      </w:r>
    </w:p>
    <w:p>
      <w:pPr>
        <w:pStyle w:val="Section"/>
        <w:keepNext/>
      </w:pPr>
      <w:r>
        <w:t>Referências</w:t>
      </w:r>
    </w:p>
    <w:p>
      <w:pPr>
        <w:spacing w:after="20" w:line="240" w:lineRule="auto"/>
        <w:ind w:left="255" w:hanging="255"/>
      </w:pPr>
      <w:r>
        <w:rPr>
          <w:sz w:val="14"/>
        </w:rPr>
        <w:t>Ain, N. U., Vaia, G., DeLone, W. H., &amp; Waheed, M. (2019). Two decades of research on business intelligence system adoption, utilization and success: A systematic literature review. Decision Support Systems, 125, 113113. https://doi.org/10.1016/j.dss.2019.113113</w:t>
      </w:r>
    </w:p>
    <w:p>
      <w:pPr>
        <w:spacing w:after="20" w:line="240" w:lineRule="auto"/>
        <w:ind w:left="255" w:hanging="255"/>
      </w:pPr>
      <w:r>
        <w:rPr>
          <w:sz w:val="14"/>
        </w:rPr>
        <w:t>Alam, S., Islam, K. A., Miah, R., Afrin, S., Islam, M. A., Hoque, M. R., &amp; Mahmud, I. (2025). Key success factors of knowledge management systems for optimizing organizational performance: A PRISMA-based systematic literature review. Heliyon, 11(16), e44097. https://doi.org/10.1016/j.heliyon.2025.e44097</w:t>
      </w:r>
    </w:p>
    <w:p>
      <w:pPr>
        <w:spacing w:after="20" w:line="240" w:lineRule="auto"/>
        <w:ind w:left="255" w:hanging="255"/>
      </w:pPr>
      <w:r>
        <w:rPr>
          <w:sz w:val="14"/>
        </w:rPr>
        <w:t>Kakhki, M. D., &amp; Gargeya, V. B. (2019). Information systems for supply chain management: A systematic literature analysis. International Journal of Production Research, 57(15–16), 5318–5339. https://doi.org/10.1080/00207543.2019.1570376</w:t>
      </w:r>
    </w:p>
    <w:p>
      <w:pPr>
        <w:spacing w:after="20" w:line="240" w:lineRule="auto"/>
        <w:ind w:left="255" w:hanging="255"/>
      </w:pPr>
      <w:r>
        <w:rPr>
          <w:sz w:val="14"/>
        </w:rPr>
        <w:t>Martins, E. J., &amp; Belfo, F. P. (2023). Major concerns about Enterprise Resource Planning (ERP) systems: A systematic review of a decade of research (2011–2021). Procedia Computer Science, 219, 378–387. https://doi.org/10.1016/j.procs.2023.01.303</w:t>
      </w:r>
    </w:p>
    <w:p>
      <w:pPr>
        <w:spacing w:after="20" w:line="240" w:lineRule="auto"/>
        <w:ind w:left="255" w:hanging="255"/>
      </w:pPr>
      <w:r>
        <w:rPr>
          <w:sz w:val="14"/>
        </w:rPr>
        <w:t>Soltani, Z., &amp; Jafari Navimipour, N. (2016). Customer relationship management mechanisms: A systematic review of the state of the art literature and recommendations for future research. Computers in Human Behavior, 61, 667–688. https://doi.org/10.1016/j.chb.2016.03.008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765" w:bottom="680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Grupo 5  •  Sabor &amp; Cia — Alimentos Ltda.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FGV EAESP  |  Tecnologia, Dados e Negócios  |  Atividade Monitorada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keepNext/>
      <w:spacing w:before="100" w:after="40"/>
    </w:pPr>
    <w:rPr>
      <w:rFonts w:ascii="Arial" w:hAnsi="Arial"/>
      <w:b/>
      <w:color w:val="1F4E78"/>
      <w:sz w:val="22"/>
    </w:rPr>
  </w:style>
  <w:style w:type="paragraph" w:customStyle="1" w:styleId="CompactBullet">
    <w:name w:val="Compact Bullet"/>
    <w:basedOn w:val="ListBullet"/>
    <w:pPr>
      <w:spacing w:after="30" w:line="240" w:lineRule="auto"/>
      <w:ind w:left="255" w:hanging="14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Monitorada 1 — Sabor &amp; Cia</dc:title>
  <dc:subject>Tecnologia, Dados e Negócios</dc:subject>
  <dc:creator>Grupo 5 — FGV EAESP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