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Documento de Regras de Negócio</w:t>
      </w:r>
    </w:p>
    <w:p>
      <w:pPr>
        <w:pStyle w:val="Subtitle"/>
        <w:jc w:val="center"/>
      </w:pPr>
      <w:r>
        <w:t>Restrições negociais agrupadas pelos processos do MVP.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DOC-MVP-003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Especificar regras independentes da interface que preservam consistência, segurança e responsabilidade operacional.</w:t>
      </w:r>
    </w:p>
    <w:p>
      <w:pPr>
        <w:pStyle w:val="Heading2"/>
      </w:pPr>
      <w:r>
        <w:t>1.2 Escopo</w:t>
      </w:r>
    </w:p>
    <w:p>
      <w:r>
        <w:t>Abrange acesso, funcionários, competências, movimentações, admissão, férias, aprovação, documentos e auditoria.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Requisitos do MVP — RH Conecta.</w:t>
      </w:r>
    </w:p>
    <w:p>
      <w:pPr>
        <w:pStyle w:val="ListBullet"/>
      </w:pPr>
      <w:r>
        <w:t>Especificações de Casos de Uso — RH Conecta.</w:t>
      </w:r>
    </w:p>
    <w:p>
      <w:pPr>
        <w:pStyle w:val="Heading1"/>
      </w:pPr>
      <w:r>
        <w:t>2. CONVENÇÃO</w:t>
      </w:r>
    </w:p>
    <w:p>
      <w:r>
        <w:t>As regras são identificadas por RN[GRUPO.n]. O nome da regra deve ser usado em referências textuais; o identificador mantém rastreabilidade técnica.</w:t>
      </w:r>
    </w:p>
    <w:p>
      <w:pPr>
        <w:pStyle w:val="Heading1"/>
      </w:pPr>
      <w:r>
        <w:t>3. ACESSO E ORGANIZAÇÕES</w:t>
      </w:r>
    </w:p>
    <w:p>
      <w:pPr>
        <w:pStyle w:val="Heading2"/>
      </w:pPr>
      <w:r>
        <w:t>RN[ACESSO.1] Isolamento entre empresas</w:t>
      </w:r>
    </w:p>
    <w:p>
      <w:r>
        <w:t>Todo acesso deve respeitar organização e perfil. Um cliente não pode ler dados de outro.</w:t>
      </w:r>
    </w:p>
    <w:p>
      <w:r>
        <w:rPr>
          <w:b/>
        </w:rPr>
        <w:t xml:space="preserve">Requisitos associados: </w:t>
      </w:r>
      <w:r>
        <w:t>RF003; RF004</w:t>
      </w:r>
    </w:p>
    <w:p>
      <w:pPr>
        <w:pStyle w:val="Heading2"/>
      </w:pPr>
      <w:r>
        <w:t>RN[ACESSO.2] Recuperação de acesso</w:t>
      </w:r>
    </w:p>
    <w:p>
      <w:r>
        <w:t>O vínculo é de uso único, expira e é invalidado após redefinição da senha.</w:t>
      </w:r>
    </w:p>
    <w:p>
      <w:r>
        <w:rPr>
          <w:b/>
        </w:rPr>
        <w:t xml:space="preserve">Requisitos associados: </w:t>
      </w:r>
      <w:r>
        <w:t>RF002</w:t>
      </w:r>
    </w:p>
    <w:p>
      <w:pPr>
        <w:pStyle w:val="Heading1"/>
      </w:pPr>
      <w:r>
        <w:t>4. FUNCIONÁRIOS</w:t>
      </w:r>
    </w:p>
    <w:p>
      <w:pPr>
        <w:pStyle w:val="Heading2"/>
      </w:pPr>
      <w:r>
        <w:t>RN[FUNC.1] Unicidade do CPF</w:t>
      </w:r>
    </w:p>
    <w:p>
      <w:r>
        <w:t>CPF deve ser válido e único entre funcionários ativos da mesma empresa.</w:t>
      </w:r>
    </w:p>
    <w:p>
      <w:r>
        <w:rPr>
          <w:b/>
        </w:rPr>
        <w:t xml:space="preserve">Requisitos associados: </w:t>
      </w:r>
      <w:r>
        <w:t>RF005</w:t>
      </w:r>
    </w:p>
    <w:p>
      <w:pPr>
        <w:pStyle w:val="Heading1"/>
      </w:pPr>
      <w:r>
        <w:t>5. COMPETÊNCIA</w:t>
      </w:r>
    </w:p>
    <w:p>
      <w:pPr>
        <w:pStyle w:val="Heading2"/>
      </w:pPr>
      <w:r>
        <w:t>RN[COMP.1] Imutabilidade do fechamento</w:t>
      </w:r>
    </w:p>
    <w:p>
      <w:r>
        <w:t>Competência fechada é somente leitura; reabertura exige permissão, motivo e auditoria.</w:t>
      </w:r>
    </w:p>
    <w:p>
      <w:r>
        <w:rPr>
          <w:b/>
        </w:rPr>
        <w:t xml:space="preserve">Requisitos associados: </w:t>
      </w:r>
      <w:r>
        <w:t>RF007</w:t>
      </w:r>
    </w:p>
    <w:p>
      <w:pPr>
        <w:pStyle w:val="Heading1"/>
      </w:pPr>
      <w:r>
        <w:t>6. MOVIMENTAÇÕES</w:t>
      </w:r>
    </w:p>
    <w:p>
      <w:pPr>
        <w:pStyle w:val="Heading2"/>
      </w:pPr>
      <w:r>
        <w:t>RN[MOV.1] Transições permitidas</w:t>
      </w:r>
    </w:p>
    <w:p>
      <w:r>
        <w:t>Rascunho → Enviada → Em análise → Aprovada ou Devolvida → Concluída. Devolvida pode retornar a Rascunho.</w:t>
      </w:r>
    </w:p>
    <w:p>
      <w:r>
        <w:rPr>
          <w:b/>
        </w:rPr>
        <w:t xml:space="preserve">Requisitos associados: </w:t>
      </w:r>
      <w:r>
        <w:t>RF008</w:t>
      </w:r>
    </w:p>
    <w:p>
      <w:pPr>
        <w:pStyle w:val="Heading2"/>
      </w:pPr>
      <w:r>
        <w:t>RN[MOV.2] Rastro de transição</w:t>
      </w:r>
    </w:p>
    <w:p>
      <w:r>
        <w:t>Toda transição registra usuário, data e hora, estado de origem e destino e observação quando exigida.</w:t>
      </w:r>
    </w:p>
    <w:p>
      <w:r>
        <w:rPr>
          <w:b/>
        </w:rPr>
        <w:t xml:space="preserve">Requisitos associados: </w:t>
      </w:r>
      <w:r>
        <w:t>RF008; RF017</w:t>
      </w:r>
    </w:p>
    <w:p>
      <w:pPr>
        <w:pStyle w:val="Heading1"/>
      </w:pPr>
      <w:r>
        <w:t>7. ADMISSÃO</w:t>
      </w:r>
    </w:p>
    <w:p>
      <w:pPr>
        <w:pStyle w:val="Heading2"/>
      </w:pPr>
      <w:r>
        <w:t>RN[ADM.1] Completude para envio</w:t>
      </w:r>
    </w:p>
    <w:p>
      <w:r>
        <w:t>Admissão somente pode ser enviada com campos e documentos obrigatórios completos.</w:t>
      </w:r>
    </w:p>
    <w:p>
      <w:r>
        <w:rPr>
          <w:b/>
        </w:rPr>
        <w:t xml:space="preserve">Requisitos associados: </w:t>
      </w:r>
      <w:r>
        <w:t>RF011</w:t>
      </w:r>
    </w:p>
    <w:p>
      <w:pPr>
        <w:pStyle w:val="Heading2"/>
      </w:pPr>
      <w:r>
        <w:t>RN[ADM.2] Conclusão idempotente</w:t>
      </w:r>
    </w:p>
    <w:p>
      <w:r>
        <w:t>Uma admissão pode originar no máximo um funcionário, mesmo com repetição da requisição.</w:t>
      </w:r>
    </w:p>
    <w:p>
      <w:r>
        <w:rPr>
          <w:b/>
        </w:rPr>
        <w:t xml:space="preserve">Requisitos associados: </w:t>
      </w:r>
      <w:r>
        <w:t>RF012</w:t>
      </w:r>
    </w:p>
    <w:p>
      <w:pPr>
        <w:pStyle w:val="Heading1"/>
      </w:pPr>
      <w:r>
        <w:t>8. FÉRIAS</w:t>
      </w:r>
    </w:p>
    <w:p>
      <w:pPr>
        <w:pStyle w:val="Heading2"/>
      </w:pPr>
      <w:r>
        <w:t>RN[FER.1] Funcionário elegível</w:t>
      </w:r>
    </w:p>
    <w:p>
      <w:r>
        <w:t>Férias somente podem ser solicitadas para funcionário ativo.</w:t>
      </w:r>
    </w:p>
    <w:p>
      <w:r>
        <w:rPr>
          <w:b/>
        </w:rPr>
        <w:t xml:space="preserve">Requisitos associados: </w:t>
      </w:r>
      <w:r>
        <w:t>RF013</w:t>
      </w:r>
    </w:p>
    <w:p>
      <w:pPr>
        <w:pStyle w:val="Heading2"/>
      </w:pPr>
      <w:r>
        <w:t>RN[FER.2] Validade do período</w:t>
      </w:r>
    </w:p>
    <w:p>
      <w:r>
        <w:t>Data inicial não pode ser posterior à final e não pode haver conflito com férias aprovadas.</w:t>
      </w:r>
    </w:p>
    <w:p>
      <w:r>
        <w:rPr>
          <w:b/>
        </w:rPr>
        <w:t xml:space="preserve">Requisitos associados: </w:t>
      </w:r>
      <w:r>
        <w:t>RF014</w:t>
      </w:r>
    </w:p>
    <w:p>
      <w:pPr>
        <w:pStyle w:val="Heading1"/>
      </w:pPr>
      <w:r>
        <w:t>9. ANÁLISE E APROVAÇÃO</w:t>
      </w:r>
    </w:p>
    <w:p>
      <w:pPr>
        <w:pStyle w:val="Heading2"/>
      </w:pPr>
      <w:r>
        <w:t>RN[APR.1] Motivo e alçada</w:t>
      </w:r>
    </w:p>
    <w:p>
      <w:r>
        <w:t>Devolução exige motivo; aprovação e conclusão exigem perfil autorizado.</w:t>
      </w:r>
    </w:p>
    <w:p>
      <w:r>
        <w:rPr>
          <w:b/>
        </w:rPr>
        <w:t xml:space="preserve">Requisitos associados: </w:t>
      </w:r>
      <w:r>
        <w:t>RF015</w:t>
      </w:r>
    </w:p>
    <w:p>
      <w:pPr>
        <w:pStyle w:val="Heading1"/>
      </w:pPr>
      <w:r>
        <w:t>10. DOCUMENTOS</w:t>
      </w:r>
    </w:p>
    <w:p>
      <w:pPr>
        <w:pStyle w:val="Heading2"/>
      </w:pPr>
      <w:r>
        <w:t>RN[DOC.1] Arquivo permitido</w:t>
      </w:r>
    </w:p>
    <w:p>
      <w:r>
        <w:t>Anexo deve respeitar formatos e tamanho configurados e herdar a autorização da movimentação.</w:t>
      </w:r>
    </w:p>
    <w:p>
      <w:r>
        <w:rPr>
          <w:b/>
        </w:rPr>
        <w:t xml:space="preserve">Requisitos associados: </w:t>
      </w:r>
      <w:r>
        <w:t>RF016</w:t>
      </w:r>
    </w:p>
    <w:p>
      <w:pPr>
        <w:pStyle w:val="Heading1"/>
      </w:pPr>
      <w:r>
        <w:t>11. AUDITORIA</w:t>
      </w:r>
    </w:p>
    <w:p>
      <w:pPr>
        <w:pStyle w:val="Heading2"/>
      </w:pPr>
      <w:r>
        <w:t>RN[AUD.1] Imutabilidade do histórico</w:t>
      </w:r>
    </w:p>
    <w:p>
      <w:r>
        <w:t>Registro de auditoria não pode ser alterado ou excluído pela aplicação.</w:t>
      </w:r>
    </w:p>
    <w:p>
      <w:r>
        <w:rPr>
          <w:b/>
        </w:rPr>
        <w:t xml:space="preserve">Requisitos associados: </w:t>
      </w:r>
      <w:r>
        <w:t>RF017</w:t>
      </w:r>
    </w:p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DOC-MVP-003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DOCUMENTO DE REGRAS DE NEGÓCIO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